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2346" w14:textId="54BB5741" w:rsidR="00754AA7" w:rsidRDefault="00754AA7" w:rsidP="00754AA7">
      <w:pPr>
        <w:jc w:val="center"/>
        <w:rPr>
          <w:b/>
          <w:bCs/>
        </w:rPr>
      </w:pPr>
      <w:r>
        <w:rPr>
          <w:b/>
          <w:bCs/>
          <w:noProof/>
        </w:rPr>
        <w:drawing>
          <wp:inline distT="0" distB="0" distL="0" distR="0" wp14:anchorId="268FE597" wp14:editId="675F793F">
            <wp:extent cx="1493520" cy="1713230"/>
            <wp:effectExtent l="0" t="0" r="0" b="1270"/>
            <wp:docPr id="1327946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1713230"/>
                    </a:xfrm>
                    <a:prstGeom prst="rect">
                      <a:avLst/>
                    </a:prstGeom>
                    <a:noFill/>
                  </pic:spPr>
                </pic:pic>
              </a:graphicData>
            </a:graphic>
          </wp:inline>
        </w:drawing>
      </w:r>
    </w:p>
    <w:p w14:paraId="7172885D" w14:textId="77777777" w:rsidR="00754AA7" w:rsidRDefault="00754AA7" w:rsidP="00754AA7">
      <w:pPr>
        <w:jc w:val="center"/>
        <w:rPr>
          <w:b/>
          <w:bCs/>
        </w:rPr>
      </w:pPr>
    </w:p>
    <w:p w14:paraId="095D9E2E" w14:textId="77777777" w:rsidR="00754AA7" w:rsidRDefault="00754AA7" w:rsidP="00754AA7">
      <w:pPr>
        <w:jc w:val="center"/>
        <w:rPr>
          <w:b/>
          <w:bCs/>
        </w:rPr>
      </w:pPr>
    </w:p>
    <w:p w14:paraId="3492E17B" w14:textId="77777777" w:rsidR="00754AA7" w:rsidRDefault="00754AA7" w:rsidP="00754AA7">
      <w:pPr>
        <w:jc w:val="center"/>
        <w:rPr>
          <w:b/>
          <w:bCs/>
        </w:rPr>
      </w:pPr>
    </w:p>
    <w:p w14:paraId="73CD2152" w14:textId="678A029B" w:rsidR="00754AA7" w:rsidRPr="00754AA7" w:rsidRDefault="00754AA7" w:rsidP="00754AA7">
      <w:pPr>
        <w:jc w:val="center"/>
        <w:rPr>
          <w:b/>
          <w:bCs/>
        </w:rPr>
      </w:pPr>
      <w:r w:rsidRPr="00754AA7">
        <w:rPr>
          <w:b/>
          <w:bCs/>
        </w:rPr>
        <w:t>INTERNATIONAL BALKAN UNIVERSITY</w:t>
      </w:r>
    </w:p>
    <w:p w14:paraId="1F844F3C" w14:textId="77777777" w:rsidR="00754AA7" w:rsidRPr="00754AA7" w:rsidRDefault="00754AA7" w:rsidP="00754AA7">
      <w:pPr>
        <w:jc w:val="center"/>
        <w:rPr>
          <w:b/>
          <w:bCs/>
        </w:rPr>
      </w:pPr>
    </w:p>
    <w:p w14:paraId="31E081CC" w14:textId="77777777" w:rsidR="00754AA7" w:rsidRPr="00754AA7" w:rsidRDefault="00754AA7" w:rsidP="00754AA7">
      <w:pPr>
        <w:jc w:val="center"/>
        <w:rPr>
          <w:b/>
          <w:bCs/>
        </w:rPr>
      </w:pPr>
      <w:r w:rsidRPr="00754AA7">
        <w:rPr>
          <w:b/>
          <w:bCs/>
        </w:rPr>
        <w:t>Faculty of Law</w:t>
      </w:r>
    </w:p>
    <w:p w14:paraId="0CE03027" w14:textId="77777777" w:rsidR="00754AA7" w:rsidRPr="00754AA7" w:rsidRDefault="00754AA7" w:rsidP="00754AA7">
      <w:pPr>
        <w:jc w:val="center"/>
        <w:rPr>
          <w:b/>
          <w:bCs/>
        </w:rPr>
      </w:pPr>
      <w:r w:rsidRPr="00754AA7">
        <w:rPr>
          <w:b/>
          <w:bCs/>
        </w:rPr>
        <w:t>Department: Legal Studies</w:t>
      </w:r>
    </w:p>
    <w:p w14:paraId="0FA3EEC2" w14:textId="77777777" w:rsidR="00754AA7" w:rsidRPr="00754AA7" w:rsidRDefault="00754AA7" w:rsidP="00754AA7">
      <w:pPr>
        <w:jc w:val="center"/>
        <w:rPr>
          <w:b/>
          <w:bCs/>
        </w:rPr>
      </w:pPr>
    </w:p>
    <w:p w14:paraId="1F0B50DC" w14:textId="77777777" w:rsidR="00754AA7" w:rsidRPr="00754AA7" w:rsidRDefault="00754AA7" w:rsidP="00754AA7">
      <w:pPr>
        <w:jc w:val="center"/>
        <w:rPr>
          <w:b/>
          <w:bCs/>
        </w:rPr>
      </w:pPr>
    </w:p>
    <w:p w14:paraId="0F6A24DB" w14:textId="77777777" w:rsidR="00754AA7" w:rsidRPr="00754AA7" w:rsidRDefault="00754AA7" w:rsidP="00754AA7">
      <w:pPr>
        <w:jc w:val="center"/>
        <w:rPr>
          <w:b/>
          <w:bCs/>
        </w:rPr>
      </w:pPr>
    </w:p>
    <w:p w14:paraId="761490CA" w14:textId="5193C7D5" w:rsidR="00754AA7" w:rsidRPr="00754AA7" w:rsidRDefault="00754AA7" w:rsidP="00754AA7">
      <w:pPr>
        <w:jc w:val="center"/>
        <w:rPr>
          <w:b/>
          <w:bCs/>
        </w:rPr>
      </w:pPr>
      <w:r w:rsidRPr="00754AA7">
        <w:rPr>
          <w:b/>
          <w:bCs/>
        </w:rPr>
        <w:t>Legal Protection of Investors in the Securities Market</w:t>
      </w:r>
    </w:p>
    <w:p w14:paraId="0E038E2C" w14:textId="77777777" w:rsidR="00754AA7" w:rsidRPr="00754AA7" w:rsidRDefault="00754AA7" w:rsidP="00754AA7">
      <w:pPr>
        <w:jc w:val="center"/>
        <w:rPr>
          <w:b/>
          <w:bCs/>
        </w:rPr>
      </w:pPr>
    </w:p>
    <w:p w14:paraId="3971D9F8" w14:textId="77777777" w:rsidR="00754AA7" w:rsidRPr="00754AA7" w:rsidRDefault="00754AA7" w:rsidP="00754AA7">
      <w:pPr>
        <w:jc w:val="center"/>
        <w:rPr>
          <w:b/>
          <w:bCs/>
        </w:rPr>
      </w:pPr>
    </w:p>
    <w:p w14:paraId="5FC3CA78" w14:textId="77777777" w:rsidR="00754AA7" w:rsidRPr="00754AA7" w:rsidRDefault="00754AA7" w:rsidP="00754AA7">
      <w:pPr>
        <w:jc w:val="center"/>
        <w:rPr>
          <w:b/>
          <w:bCs/>
        </w:rPr>
      </w:pPr>
    </w:p>
    <w:p w14:paraId="7FFD7EA0" w14:textId="77777777" w:rsidR="00754AA7" w:rsidRPr="00754AA7" w:rsidRDefault="00754AA7" w:rsidP="00754AA7">
      <w:pPr>
        <w:rPr>
          <w:b/>
          <w:bCs/>
        </w:rPr>
      </w:pPr>
    </w:p>
    <w:p w14:paraId="3AEFB923" w14:textId="174BD55A" w:rsidR="00754AA7" w:rsidRPr="00754AA7" w:rsidRDefault="00754AA7" w:rsidP="00754AA7">
      <w:pPr>
        <w:jc w:val="center"/>
        <w:rPr>
          <w:b/>
          <w:bCs/>
        </w:rPr>
      </w:pPr>
      <w:r w:rsidRPr="00754AA7">
        <w:rPr>
          <w:b/>
          <w:bCs/>
        </w:rPr>
        <w:t xml:space="preserve">Mentor: </w:t>
      </w:r>
      <w:r w:rsidR="009B4031">
        <w:rPr>
          <w:b/>
          <w:bCs/>
        </w:rPr>
        <w:t>Asst.</w:t>
      </w:r>
      <w:r w:rsidR="008B6733">
        <w:rPr>
          <w:b/>
          <w:bCs/>
        </w:rPr>
        <w:t xml:space="preserve"> </w:t>
      </w:r>
      <w:r w:rsidRPr="00754AA7">
        <w:rPr>
          <w:b/>
          <w:bCs/>
        </w:rPr>
        <w:t xml:space="preserve">Prof. Dr </w:t>
      </w:r>
      <w:r>
        <w:rPr>
          <w:b/>
          <w:bCs/>
        </w:rPr>
        <w:t>Flamur Ismaili</w:t>
      </w:r>
      <w:r w:rsidRPr="00754AA7">
        <w:rPr>
          <w:b/>
          <w:bCs/>
        </w:rPr>
        <w:t xml:space="preserve">                                     Student: </w:t>
      </w:r>
      <w:r>
        <w:rPr>
          <w:b/>
          <w:bCs/>
        </w:rPr>
        <w:t xml:space="preserve">Mirza Demiri </w:t>
      </w:r>
    </w:p>
    <w:p w14:paraId="199E34AE" w14:textId="77777777" w:rsidR="00754AA7" w:rsidRPr="00754AA7" w:rsidRDefault="00754AA7" w:rsidP="00754AA7">
      <w:pPr>
        <w:jc w:val="center"/>
        <w:rPr>
          <w:b/>
          <w:bCs/>
        </w:rPr>
      </w:pPr>
    </w:p>
    <w:p w14:paraId="6557BD31" w14:textId="77777777" w:rsidR="00754AA7" w:rsidRPr="00754AA7" w:rsidRDefault="00754AA7" w:rsidP="00754AA7">
      <w:pPr>
        <w:jc w:val="center"/>
        <w:rPr>
          <w:b/>
          <w:bCs/>
        </w:rPr>
      </w:pPr>
    </w:p>
    <w:p w14:paraId="57DC97BC" w14:textId="05276F30" w:rsidR="002F6701" w:rsidRDefault="00754AA7" w:rsidP="002F6701">
      <w:pPr>
        <w:jc w:val="center"/>
        <w:rPr>
          <w:b/>
          <w:bCs/>
        </w:rPr>
      </w:pPr>
      <w:r w:rsidRPr="00754AA7">
        <w:rPr>
          <w:b/>
          <w:bCs/>
        </w:rPr>
        <w:t xml:space="preserve">Skopje, </w:t>
      </w:r>
      <w:r>
        <w:rPr>
          <w:b/>
          <w:bCs/>
        </w:rPr>
        <w:t>December</w:t>
      </w:r>
      <w:r w:rsidRPr="00754AA7">
        <w:rPr>
          <w:b/>
          <w:bCs/>
        </w:rPr>
        <w:t xml:space="preserve"> 202</w:t>
      </w:r>
      <w:r>
        <w:rPr>
          <w:b/>
          <w:bCs/>
        </w:rPr>
        <w:t>5</w:t>
      </w:r>
    </w:p>
    <w:p w14:paraId="5AA4C13E" w14:textId="77777777" w:rsidR="009B4031" w:rsidRDefault="009B4031">
      <w:pPr>
        <w:rPr>
          <w:b/>
          <w:bCs/>
        </w:rPr>
      </w:pPr>
    </w:p>
    <w:p w14:paraId="30729E93" w14:textId="7B006EBA" w:rsidR="00002CFB" w:rsidRDefault="00002CFB" w:rsidP="00613B6A">
      <w:pPr>
        <w:rPr>
          <w:b/>
          <w:bCs/>
        </w:rPr>
      </w:pPr>
      <w:r w:rsidRPr="00002CFB">
        <w:rPr>
          <w:b/>
          <w:bCs/>
        </w:rPr>
        <w:lastRenderedPageBreak/>
        <w:t>Abstract</w:t>
      </w:r>
    </w:p>
    <w:p w14:paraId="0F98CF8E" w14:textId="77777777" w:rsidR="008B6733" w:rsidRPr="008B6733" w:rsidRDefault="008B6733" w:rsidP="008B6733">
      <w:pPr>
        <w:rPr>
          <w:b/>
          <w:bCs/>
        </w:rPr>
      </w:pPr>
    </w:p>
    <w:p w14:paraId="46A61A45" w14:textId="573D03FC" w:rsidR="008B6733" w:rsidRPr="0073313F" w:rsidRDefault="008B6733" w:rsidP="008B6733">
      <w:pPr>
        <w:rPr>
          <w:rFonts w:ascii="Times New Roman" w:hAnsi="Times New Roman" w:cs="Times New Roman"/>
          <w:sz w:val="24"/>
          <w:szCs w:val="24"/>
        </w:rPr>
      </w:pPr>
      <w:r w:rsidRPr="0073313F">
        <w:rPr>
          <w:rFonts w:ascii="Times New Roman" w:hAnsi="Times New Roman" w:cs="Times New Roman"/>
          <w:sz w:val="24"/>
          <w:szCs w:val="24"/>
        </w:rPr>
        <w:t xml:space="preserve">This paper studies the legal protection of investors in the securities market, focusing on national regulations in North Macedonia and the wider European Union framework. Investor protection is important for maintaining trust, transparency, and stability in modern financial markets, especially as trading becomes more and more complex and technologically driven. The study summaries the fundamental rights of investors—including access to truthful information, protection from market manipulation, fair treatment, understanding of risks and costs, and the right to compensation—and explains how these rights are applied through disclosure obligations and supervisory oversight. The role of national regulators, particularly the Securities and Exchange Commission of North Macedonia, is compared with EU institutions such as ESMA. The paper also analyzes major global cases of investor-protection failures, including Wirecard, FTX, and </w:t>
      </w:r>
      <w:proofErr w:type="spellStart"/>
      <w:r w:rsidRPr="0073313F">
        <w:rPr>
          <w:rFonts w:ascii="Times New Roman" w:hAnsi="Times New Roman" w:cs="Times New Roman"/>
          <w:sz w:val="24"/>
          <w:szCs w:val="24"/>
        </w:rPr>
        <w:t>Archegos</w:t>
      </w:r>
      <w:proofErr w:type="spellEnd"/>
      <w:r w:rsidRPr="0073313F">
        <w:rPr>
          <w:rFonts w:ascii="Times New Roman" w:hAnsi="Times New Roman" w:cs="Times New Roman"/>
          <w:sz w:val="24"/>
          <w:szCs w:val="24"/>
        </w:rPr>
        <w:t>, as well as local enforcement examples, highlighting how gaps in supervision, transparency, and enforcement can lead to significant financial losses. The findings show that while North Macedonia increasingly harmonizes with EU standards, continuous improvements in regulation, enforcement, and cross-border cooperation remain necessary. Strengthening investor protection ultimately supports fair markets, reduces systemic risk, and improves long-term economic development.</w:t>
      </w:r>
    </w:p>
    <w:p w14:paraId="5C9B7B2A" w14:textId="54EA4811" w:rsidR="002F6701" w:rsidRDefault="002F6701" w:rsidP="002F6701">
      <w:pPr>
        <w:jc w:val="both"/>
        <w:rPr>
          <w:b/>
          <w:bCs/>
        </w:rPr>
      </w:pPr>
    </w:p>
    <w:p w14:paraId="0F5CFAF8" w14:textId="77777777" w:rsidR="002F6701" w:rsidRDefault="002F6701" w:rsidP="002F6701">
      <w:pPr>
        <w:jc w:val="both"/>
        <w:rPr>
          <w:b/>
          <w:bCs/>
        </w:rPr>
      </w:pPr>
    </w:p>
    <w:p w14:paraId="1F2A13FF" w14:textId="77777777" w:rsidR="002F6701" w:rsidRDefault="002F6701" w:rsidP="002F6701">
      <w:pPr>
        <w:jc w:val="both"/>
        <w:rPr>
          <w:b/>
          <w:bCs/>
        </w:rPr>
      </w:pPr>
    </w:p>
    <w:p w14:paraId="41EE851A" w14:textId="77777777" w:rsidR="002F6701" w:rsidRDefault="002F6701" w:rsidP="002F6701">
      <w:pPr>
        <w:jc w:val="both"/>
        <w:rPr>
          <w:b/>
          <w:bCs/>
        </w:rPr>
      </w:pPr>
    </w:p>
    <w:p w14:paraId="03B3D58F" w14:textId="77777777" w:rsidR="002F6701" w:rsidRDefault="002F6701" w:rsidP="002F6701">
      <w:pPr>
        <w:jc w:val="both"/>
        <w:rPr>
          <w:b/>
          <w:bCs/>
        </w:rPr>
      </w:pPr>
    </w:p>
    <w:p w14:paraId="1D9A6FC2" w14:textId="77777777" w:rsidR="002F6701" w:rsidRDefault="002F6701" w:rsidP="002F6701">
      <w:pPr>
        <w:jc w:val="both"/>
        <w:rPr>
          <w:b/>
          <w:bCs/>
        </w:rPr>
      </w:pPr>
    </w:p>
    <w:p w14:paraId="3FECD905" w14:textId="77777777" w:rsidR="002F6701" w:rsidRDefault="002F6701" w:rsidP="002F6701">
      <w:pPr>
        <w:jc w:val="both"/>
        <w:rPr>
          <w:b/>
          <w:bCs/>
        </w:rPr>
      </w:pPr>
    </w:p>
    <w:p w14:paraId="67797A64" w14:textId="77777777" w:rsidR="002F6701" w:rsidRDefault="002F6701" w:rsidP="002F6701">
      <w:pPr>
        <w:jc w:val="both"/>
        <w:rPr>
          <w:b/>
          <w:bCs/>
        </w:rPr>
      </w:pPr>
    </w:p>
    <w:p w14:paraId="0D889BB4" w14:textId="77777777" w:rsidR="002F6701" w:rsidRDefault="002F6701" w:rsidP="002F6701">
      <w:pPr>
        <w:jc w:val="both"/>
        <w:rPr>
          <w:b/>
          <w:bCs/>
        </w:rPr>
      </w:pPr>
    </w:p>
    <w:p w14:paraId="7E70E70E" w14:textId="77777777" w:rsidR="002F6701" w:rsidRDefault="002F6701" w:rsidP="002F6701">
      <w:pPr>
        <w:jc w:val="both"/>
        <w:rPr>
          <w:b/>
          <w:bCs/>
        </w:rPr>
      </w:pPr>
    </w:p>
    <w:p w14:paraId="269FE676" w14:textId="77777777" w:rsidR="002F6701" w:rsidRDefault="002F6701" w:rsidP="002F6701">
      <w:pPr>
        <w:jc w:val="both"/>
        <w:rPr>
          <w:b/>
          <w:bCs/>
        </w:rPr>
      </w:pPr>
    </w:p>
    <w:p w14:paraId="73F4BB86" w14:textId="77777777" w:rsidR="002F6701" w:rsidRDefault="002F6701" w:rsidP="002F6701">
      <w:pPr>
        <w:jc w:val="both"/>
        <w:rPr>
          <w:b/>
          <w:bCs/>
        </w:rPr>
      </w:pPr>
    </w:p>
    <w:p w14:paraId="1B303FFF" w14:textId="77777777" w:rsidR="002F6701" w:rsidRDefault="002F6701" w:rsidP="002F6701">
      <w:pPr>
        <w:jc w:val="both"/>
        <w:rPr>
          <w:b/>
          <w:bCs/>
        </w:rPr>
      </w:pPr>
    </w:p>
    <w:p w14:paraId="1C9595A2" w14:textId="77777777" w:rsidR="00002CFB" w:rsidRDefault="00002CFB" w:rsidP="00002CFB">
      <w:bookmarkStart w:id="0" w:name="_Toc214967406"/>
    </w:p>
    <w:p w14:paraId="7FBB3B53" w14:textId="77777777" w:rsidR="00002CFB" w:rsidRDefault="00002CFB" w:rsidP="00002CFB"/>
    <w:sdt>
      <w:sdtPr>
        <w:rPr>
          <w:rFonts w:asciiTheme="minorHAnsi" w:eastAsiaTheme="minorEastAsia" w:hAnsiTheme="minorHAnsi" w:cstheme="minorBidi"/>
          <w:b w:val="0"/>
          <w:bCs w:val="0"/>
          <w:color w:val="auto"/>
          <w:sz w:val="22"/>
          <w:szCs w:val="22"/>
        </w:rPr>
        <w:id w:val="1614011887"/>
        <w:docPartObj>
          <w:docPartGallery w:val="Table of Contents"/>
          <w:docPartUnique/>
        </w:docPartObj>
      </w:sdtPr>
      <w:sdtEndPr>
        <w:rPr>
          <w:noProof/>
        </w:rPr>
      </w:sdtEndPr>
      <w:sdtContent>
        <w:p w14:paraId="2C425777" w14:textId="645F1E4A" w:rsidR="00002CFB" w:rsidRDefault="00002CFB">
          <w:pPr>
            <w:pStyle w:val="TOCHeading"/>
          </w:pPr>
          <w:r>
            <w:t>Contents</w:t>
          </w:r>
        </w:p>
        <w:p w14:paraId="03775C6B" w14:textId="5A97DA21" w:rsidR="00795C87" w:rsidRDefault="00002CFB">
          <w:pPr>
            <w:pStyle w:val="TOC1"/>
            <w:tabs>
              <w:tab w:val="right" w:leader="dot" w:pos="8630"/>
            </w:tabs>
            <w:rPr>
              <w:noProof/>
              <w:kern w:val="2"/>
              <w:sz w:val="24"/>
              <w:szCs w:val="24"/>
              <w14:ligatures w14:val="standardContextual"/>
            </w:rPr>
          </w:pPr>
          <w:r>
            <w:fldChar w:fldCharType="begin"/>
          </w:r>
          <w:r>
            <w:instrText xml:space="preserve"> TOC \o "1-3" \h \z \u </w:instrText>
          </w:r>
          <w:r>
            <w:fldChar w:fldCharType="separate"/>
          </w:r>
          <w:hyperlink w:anchor="_Toc215562038" w:history="1">
            <w:r w:rsidR="00795C87" w:rsidRPr="00DB51F2">
              <w:rPr>
                <w:rStyle w:val="Hyperlink"/>
                <w:noProof/>
              </w:rPr>
              <w:t>Introduction</w:t>
            </w:r>
            <w:r w:rsidR="00795C87">
              <w:rPr>
                <w:noProof/>
                <w:webHidden/>
              </w:rPr>
              <w:tab/>
            </w:r>
            <w:r w:rsidR="00795C87">
              <w:rPr>
                <w:noProof/>
                <w:webHidden/>
              </w:rPr>
              <w:fldChar w:fldCharType="begin"/>
            </w:r>
            <w:r w:rsidR="00795C87">
              <w:rPr>
                <w:noProof/>
                <w:webHidden/>
              </w:rPr>
              <w:instrText xml:space="preserve"> PAGEREF _Toc215562038 \h </w:instrText>
            </w:r>
            <w:r w:rsidR="00795C87">
              <w:rPr>
                <w:noProof/>
                <w:webHidden/>
              </w:rPr>
            </w:r>
            <w:r w:rsidR="00795C87">
              <w:rPr>
                <w:noProof/>
                <w:webHidden/>
              </w:rPr>
              <w:fldChar w:fldCharType="separate"/>
            </w:r>
            <w:r w:rsidR="00795C87">
              <w:rPr>
                <w:noProof/>
                <w:webHidden/>
              </w:rPr>
              <w:t>4</w:t>
            </w:r>
            <w:r w:rsidR="00795C87">
              <w:rPr>
                <w:noProof/>
                <w:webHidden/>
              </w:rPr>
              <w:fldChar w:fldCharType="end"/>
            </w:r>
          </w:hyperlink>
        </w:p>
        <w:p w14:paraId="15211DEF" w14:textId="7C91CA67" w:rsidR="00795C87" w:rsidRDefault="00795C87">
          <w:pPr>
            <w:pStyle w:val="TOC1"/>
            <w:tabs>
              <w:tab w:val="right" w:leader="dot" w:pos="8630"/>
            </w:tabs>
            <w:rPr>
              <w:noProof/>
              <w:kern w:val="2"/>
              <w:sz w:val="24"/>
              <w:szCs w:val="24"/>
              <w14:ligatures w14:val="standardContextual"/>
            </w:rPr>
          </w:pPr>
          <w:hyperlink w:anchor="_Toc215562039" w:history="1">
            <w:r w:rsidRPr="00DB51F2">
              <w:rPr>
                <w:rStyle w:val="Hyperlink"/>
                <w:noProof/>
              </w:rPr>
              <w:t>NATIONAL AND EU LEGAL FRAMEWORK</w:t>
            </w:r>
            <w:r>
              <w:rPr>
                <w:noProof/>
                <w:webHidden/>
              </w:rPr>
              <w:tab/>
            </w:r>
            <w:r>
              <w:rPr>
                <w:noProof/>
                <w:webHidden/>
              </w:rPr>
              <w:fldChar w:fldCharType="begin"/>
            </w:r>
            <w:r>
              <w:rPr>
                <w:noProof/>
                <w:webHidden/>
              </w:rPr>
              <w:instrText xml:space="preserve"> PAGEREF _Toc215562039 \h </w:instrText>
            </w:r>
            <w:r>
              <w:rPr>
                <w:noProof/>
                <w:webHidden/>
              </w:rPr>
            </w:r>
            <w:r>
              <w:rPr>
                <w:noProof/>
                <w:webHidden/>
              </w:rPr>
              <w:fldChar w:fldCharType="separate"/>
            </w:r>
            <w:r>
              <w:rPr>
                <w:noProof/>
                <w:webHidden/>
              </w:rPr>
              <w:t>5</w:t>
            </w:r>
            <w:r>
              <w:rPr>
                <w:noProof/>
                <w:webHidden/>
              </w:rPr>
              <w:fldChar w:fldCharType="end"/>
            </w:r>
          </w:hyperlink>
        </w:p>
        <w:p w14:paraId="328621FB" w14:textId="51FFE45B" w:rsidR="00795C87" w:rsidRDefault="00795C87">
          <w:pPr>
            <w:pStyle w:val="TOC1"/>
            <w:tabs>
              <w:tab w:val="right" w:leader="dot" w:pos="8630"/>
            </w:tabs>
            <w:rPr>
              <w:noProof/>
              <w:kern w:val="2"/>
              <w:sz w:val="24"/>
              <w:szCs w:val="24"/>
              <w14:ligatures w14:val="standardContextual"/>
            </w:rPr>
          </w:pPr>
          <w:hyperlink w:anchor="_Toc215562040" w:history="1">
            <w:r w:rsidRPr="00DB51F2">
              <w:rPr>
                <w:rStyle w:val="Hyperlink"/>
                <w:noProof/>
              </w:rPr>
              <w:t>RIGHTS OF INVESTORS</w:t>
            </w:r>
            <w:r>
              <w:rPr>
                <w:noProof/>
                <w:webHidden/>
              </w:rPr>
              <w:tab/>
            </w:r>
            <w:r>
              <w:rPr>
                <w:noProof/>
                <w:webHidden/>
              </w:rPr>
              <w:fldChar w:fldCharType="begin"/>
            </w:r>
            <w:r>
              <w:rPr>
                <w:noProof/>
                <w:webHidden/>
              </w:rPr>
              <w:instrText xml:space="preserve"> PAGEREF _Toc215562040 \h </w:instrText>
            </w:r>
            <w:r>
              <w:rPr>
                <w:noProof/>
                <w:webHidden/>
              </w:rPr>
            </w:r>
            <w:r>
              <w:rPr>
                <w:noProof/>
                <w:webHidden/>
              </w:rPr>
              <w:fldChar w:fldCharType="separate"/>
            </w:r>
            <w:r>
              <w:rPr>
                <w:noProof/>
                <w:webHidden/>
              </w:rPr>
              <w:t>6</w:t>
            </w:r>
            <w:r>
              <w:rPr>
                <w:noProof/>
                <w:webHidden/>
              </w:rPr>
              <w:fldChar w:fldCharType="end"/>
            </w:r>
          </w:hyperlink>
        </w:p>
        <w:p w14:paraId="5ED270F3" w14:textId="4B6BC740" w:rsidR="00795C87" w:rsidRDefault="00795C87">
          <w:pPr>
            <w:pStyle w:val="TOC2"/>
            <w:tabs>
              <w:tab w:val="right" w:leader="dot" w:pos="8630"/>
            </w:tabs>
            <w:rPr>
              <w:noProof/>
              <w:kern w:val="2"/>
              <w:sz w:val="24"/>
              <w:szCs w:val="24"/>
              <w14:ligatures w14:val="standardContextual"/>
            </w:rPr>
          </w:pPr>
          <w:hyperlink w:anchor="_Toc215562041" w:history="1">
            <w:r w:rsidRPr="00DB51F2">
              <w:rPr>
                <w:rStyle w:val="Hyperlink"/>
                <w:noProof/>
              </w:rPr>
              <w:t>1. Right to truthful, accurate, and timely information.</w:t>
            </w:r>
            <w:r>
              <w:rPr>
                <w:noProof/>
                <w:webHidden/>
              </w:rPr>
              <w:tab/>
            </w:r>
            <w:r>
              <w:rPr>
                <w:noProof/>
                <w:webHidden/>
              </w:rPr>
              <w:fldChar w:fldCharType="begin"/>
            </w:r>
            <w:r>
              <w:rPr>
                <w:noProof/>
                <w:webHidden/>
              </w:rPr>
              <w:instrText xml:space="preserve"> PAGEREF _Toc215562041 \h </w:instrText>
            </w:r>
            <w:r>
              <w:rPr>
                <w:noProof/>
                <w:webHidden/>
              </w:rPr>
            </w:r>
            <w:r>
              <w:rPr>
                <w:noProof/>
                <w:webHidden/>
              </w:rPr>
              <w:fldChar w:fldCharType="separate"/>
            </w:r>
            <w:r>
              <w:rPr>
                <w:noProof/>
                <w:webHidden/>
              </w:rPr>
              <w:t>6</w:t>
            </w:r>
            <w:r>
              <w:rPr>
                <w:noProof/>
                <w:webHidden/>
              </w:rPr>
              <w:fldChar w:fldCharType="end"/>
            </w:r>
          </w:hyperlink>
        </w:p>
        <w:p w14:paraId="4A440127" w14:textId="0BA6D797" w:rsidR="00795C87" w:rsidRDefault="00795C87">
          <w:pPr>
            <w:pStyle w:val="TOC2"/>
            <w:tabs>
              <w:tab w:val="right" w:leader="dot" w:pos="8630"/>
            </w:tabs>
            <w:rPr>
              <w:noProof/>
              <w:kern w:val="2"/>
              <w:sz w:val="24"/>
              <w:szCs w:val="24"/>
              <w14:ligatures w14:val="standardContextual"/>
            </w:rPr>
          </w:pPr>
          <w:hyperlink w:anchor="_Toc215562042" w:history="1">
            <w:r w:rsidRPr="00DB51F2">
              <w:rPr>
                <w:rStyle w:val="Hyperlink"/>
                <w:noProof/>
              </w:rPr>
              <w:t>2. Right to protection from market manipulation.</w:t>
            </w:r>
            <w:r>
              <w:rPr>
                <w:noProof/>
                <w:webHidden/>
              </w:rPr>
              <w:tab/>
            </w:r>
            <w:r>
              <w:rPr>
                <w:noProof/>
                <w:webHidden/>
              </w:rPr>
              <w:fldChar w:fldCharType="begin"/>
            </w:r>
            <w:r>
              <w:rPr>
                <w:noProof/>
                <w:webHidden/>
              </w:rPr>
              <w:instrText xml:space="preserve"> PAGEREF _Toc215562042 \h </w:instrText>
            </w:r>
            <w:r>
              <w:rPr>
                <w:noProof/>
                <w:webHidden/>
              </w:rPr>
            </w:r>
            <w:r>
              <w:rPr>
                <w:noProof/>
                <w:webHidden/>
              </w:rPr>
              <w:fldChar w:fldCharType="separate"/>
            </w:r>
            <w:r>
              <w:rPr>
                <w:noProof/>
                <w:webHidden/>
              </w:rPr>
              <w:t>6</w:t>
            </w:r>
            <w:r>
              <w:rPr>
                <w:noProof/>
                <w:webHidden/>
              </w:rPr>
              <w:fldChar w:fldCharType="end"/>
            </w:r>
          </w:hyperlink>
        </w:p>
        <w:p w14:paraId="2DED1E12" w14:textId="6F5221DF" w:rsidR="00795C87" w:rsidRDefault="00795C87">
          <w:pPr>
            <w:pStyle w:val="TOC1"/>
            <w:tabs>
              <w:tab w:val="right" w:leader="dot" w:pos="8630"/>
            </w:tabs>
            <w:rPr>
              <w:noProof/>
              <w:kern w:val="2"/>
              <w:sz w:val="24"/>
              <w:szCs w:val="24"/>
              <w14:ligatures w14:val="standardContextual"/>
            </w:rPr>
          </w:pPr>
          <w:hyperlink w:anchor="_Toc215562043" w:history="1">
            <w:r w:rsidRPr="00DB51F2">
              <w:rPr>
                <w:rStyle w:val="Hyperlink"/>
                <w:noProof/>
              </w:rPr>
              <w:t>3. Right to protection from insider trading.</w:t>
            </w:r>
            <w:r>
              <w:rPr>
                <w:noProof/>
                <w:webHidden/>
              </w:rPr>
              <w:tab/>
            </w:r>
            <w:r>
              <w:rPr>
                <w:noProof/>
                <w:webHidden/>
              </w:rPr>
              <w:fldChar w:fldCharType="begin"/>
            </w:r>
            <w:r>
              <w:rPr>
                <w:noProof/>
                <w:webHidden/>
              </w:rPr>
              <w:instrText xml:space="preserve"> PAGEREF _Toc215562043 \h </w:instrText>
            </w:r>
            <w:r>
              <w:rPr>
                <w:noProof/>
                <w:webHidden/>
              </w:rPr>
            </w:r>
            <w:r>
              <w:rPr>
                <w:noProof/>
                <w:webHidden/>
              </w:rPr>
              <w:fldChar w:fldCharType="separate"/>
            </w:r>
            <w:r>
              <w:rPr>
                <w:noProof/>
                <w:webHidden/>
              </w:rPr>
              <w:t>7</w:t>
            </w:r>
            <w:r>
              <w:rPr>
                <w:noProof/>
                <w:webHidden/>
              </w:rPr>
              <w:fldChar w:fldCharType="end"/>
            </w:r>
          </w:hyperlink>
        </w:p>
        <w:p w14:paraId="7CA75767" w14:textId="05BFDDDF" w:rsidR="00795C87" w:rsidRDefault="00795C87">
          <w:pPr>
            <w:pStyle w:val="TOC1"/>
            <w:tabs>
              <w:tab w:val="right" w:leader="dot" w:pos="8630"/>
            </w:tabs>
            <w:rPr>
              <w:noProof/>
              <w:kern w:val="2"/>
              <w:sz w:val="24"/>
              <w:szCs w:val="24"/>
              <w14:ligatures w14:val="standardContextual"/>
            </w:rPr>
          </w:pPr>
          <w:hyperlink w:anchor="_Toc215562044" w:history="1">
            <w:r w:rsidRPr="00DB51F2">
              <w:rPr>
                <w:rStyle w:val="Hyperlink"/>
                <w:noProof/>
              </w:rPr>
              <w:t>4. Right to fair treatment and non‑discrimination.</w:t>
            </w:r>
            <w:r>
              <w:rPr>
                <w:noProof/>
                <w:webHidden/>
              </w:rPr>
              <w:tab/>
            </w:r>
            <w:r>
              <w:rPr>
                <w:noProof/>
                <w:webHidden/>
              </w:rPr>
              <w:fldChar w:fldCharType="begin"/>
            </w:r>
            <w:r>
              <w:rPr>
                <w:noProof/>
                <w:webHidden/>
              </w:rPr>
              <w:instrText xml:space="preserve"> PAGEREF _Toc215562044 \h </w:instrText>
            </w:r>
            <w:r>
              <w:rPr>
                <w:noProof/>
                <w:webHidden/>
              </w:rPr>
            </w:r>
            <w:r>
              <w:rPr>
                <w:noProof/>
                <w:webHidden/>
              </w:rPr>
              <w:fldChar w:fldCharType="separate"/>
            </w:r>
            <w:r>
              <w:rPr>
                <w:noProof/>
                <w:webHidden/>
              </w:rPr>
              <w:t>7</w:t>
            </w:r>
            <w:r>
              <w:rPr>
                <w:noProof/>
                <w:webHidden/>
              </w:rPr>
              <w:fldChar w:fldCharType="end"/>
            </w:r>
          </w:hyperlink>
        </w:p>
        <w:p w14:paraId="3AD0F378" w14:textId="6304B6D8" w:rsidR="00795C87" w:rsidRDefault="00795C87">
          <w:pPr>
            <w:pStyle w:val="TOC1"/>
            <w:tabs>
              <w:tab w:val="right" w:leader="dot" w:pos="8630"/>
            </w:tabs>
            <w:rPr>
              <w:noProof/>
              <w:kern w:val="2"/>
              <w:sz w:val="24"/>
              <w:szCs w:val="24"/>
              <w14:ligatures w14:val="standardContextual"/>
            </w:rPr>
          </w:pPr>
          <w:hyperlink w:anchor="_Toc215562045" w:history="1">
            <w:r w:rsidRPr="00DB51F2">
              <w:rPr>
                <w:rStyle w:val="Hyperlink"/>
                <w:noProof/>
              </w:rPr>
              <w:t>5. Right to understand risks and costs.</w:t>
            </w:r>
            <w:r>
              <w:rPr>
                <w:noProof/>
                <w:webHidden/>
              </w:rPr>
              <w:tab/>
            </w:r>
            <w:r>
              <w:rPr>
                <w:noProof/>
                <w:webHidden/>
              </w:rPr>
              <w:fldChar w:fldCharType="begin"/>
            </w:r>
            <w:r>
              <w:rPr>
                <w:noProof/>
                <w:webHidden/>
              </w:rPr>
              <w:instrText xml:space="preserve"> PAGEREF _Toc215562045 \h </w:instrText>
            </w:r>
            <w:r>
              <w:rPr>
                <w:noProof/>
                <w:webHidden/>
              </w:rPr>
            </w:r>
            <w:r>
              <w:rPr>
                <w:noProof/>
                <w:webHidden/>
              </w:rPr>
              <w:fldChar w:fldCharType="separate"/>
            </w:r>
            <w:r>
              <w:rPr>
                <w:noProof/>
                <w:webHidden/>
              </w:rPr>
              <w:t>8</w:t>
            </w:r>
            <w:r>
              <w:rPr>
                <w:noProof/>
                <w:webHidden/>
              </w:rPr>
              <w:fldChar w:fldCharType="end"/>
            </w:r>
          </w:hyperlink>
        </w:p>
        <w:p w14:paraId="7D190F8B" w14:textId="36176D27" w:rsidR="00795C87" w:rsidRDefault="00795C87">
          <w:pPr>
            <w:pStyle w:val="TOC1"/>
            <w:tabs>
              <w:tab w:val="right" w:leader="dot" w:pos="8630"/>
            </w:tabs>
            <w:rPr>
              <w:noProof/>
              <w:kern w:val="2"/>
              <w:sz w:val="24"/>
              <w:szCs w:val="24"/>
              <w14:ligatures w14:val="standardContextual"/>
            </w:rPr>
          </w:pPr>
          <w:hyperlink w:anchor="_Toc215562046" w:history="1">
            <w:r w:rsidRPr="00DB51F2">
              <w:rPr>
                <w:rStyle w:val="Hyperlink"/>
                <w:noProof/>
              </w:rPr>
              <w:t>6. Right to compensation.</w:t>
            </w:r>
            <w:r>
              <w:rPr>
                <w:noProof/>
                <w:webHidden/>
              </w:rPr>
              <w:tab/>
            </w:r>
            <w:r>
              <w:rPr>
                <w:noProof/>
                <w:webHidden/>
              </w:rPr>
              <w:fldChar w:fldCharType="begin"/>
            </w:r>
            <w:r>
              <w:rPr>
                <w:noProof/>
                <w:webHidden/>
              </w:rPr>
              <w:instrText xml:space="preserve"> PAGEREF _Toc215562046 \h </w:instrText>
            </w:r>
            <w:r>
              <w:rPr>
                <w:noProof/>
                <w:webHidden/>
              </w:rPr>
            </w:r>
            <w:r>
              <w:rPr>
                <w:noProof/>
                <w:webHidden/>
              </w:rPr>
              <w:fldChar w:fldCharType="separate"/>
            </w:r>
            <w:r>
              <w:rPr>
                <w:noProof/>
                <w:webHidden/>
              </w:rPr>
              <w:t>8</w:t>
            </w:r>
            <w:r>
              <w:rPr>
                <w:noProof/>
                <w:webHidden/>
              </w:rPr>
              <w:fldChar w:fldCharType="end"/>
            </w:r>
          </w:hyperlink>
        </w:p>
        <w:p w14:paraId="4576363D" w14:textId="4E5DBAAF" w:rsidR="00795C87" w:rsidRDefault="00795C87">
          <w:pPr>
            <w:pStyle w:val="TOC1"/>
            <w:tabs>
              <w:tab w:val="right" w:leader="dot" w:pos="8630"/>
            </w:tabs>
            <w:rPr>
              <w:noProof/>
              <w:kern w:val="2"/>
              <w:sz w:val="24"/>
              <w:szCs w:val="24"/>
              <w14:ligatures w14:val="standardContextual"/>
            </w:rPr>
          </w:pPr>
          <w:hyperlink w:anchor="_Toc215562047" w:history="1">
            <w:r w:rsidRPr="00DB51F2">
              <w:rPr>
                <w:rStyle w:val="Hyperlink"/>
                <w:noProof/>
              </w:rPr>
              <w:t>ROLE OF REGULATORS</w:t>
            </w:r>
            <w:r>
              <w:rPr>
                <w:noProof/>
                <w:webHidden/>
              </w:rPr>
              <w:tab/>
            </w:r>
            <w:r>
              <w:rPr>
                <w:noProof/>
                <w:webHidden/>
              </w:rPr>
              <w:fldChar w:fldCharType="begin"/>
            </w:r>
            <w:r>
              <w:rPr>
                <w:noProof/>
                <w:webHidden/>
              </w:rPr>
              <w:instrText xml:space="preserve"> PAGEREF _Toc215562047 \h </w:instrText>
            </w:r>
            <w:r>
              <w:rPr>
                <w:noProof/>
                <w:webHidden/>
              </w:rPr>
            </w:r>
            <w:r>
              <w:rPr>
                <w:noProof/>
                <w:webHidden/>
              </w:rPr>
              <w:fldChar w:fldCharType="separate"/>
            </w:r>
            <w:r>
              <w:rPr>
                <w:noProof/>
                <w:webHidden/>
              </w:rPr>
              <w:t>9</w:t>
            </w:r>
            <w:r>
              <w:rPr>
                <w:noProof/>
                <w:webHidden/>
              </w:rPr>
              <w:fldChar w:fldCharType="end"/>
            </w:r>
          </w:hyperlink>
        </w:p>
        <w:p w14:paraId="630BADFB" w14:textId="437FD6E6" w:rsidR="00795C87" w:rsidRDefault="00795C87">
          <w:pPr>
            <w:pStyle w:val="TOC1"/>
            <w:tabs>
              <w:tab w:val="right" w:leader="dot" w:pos="8630"/>
            </w:tabs>
            <w:rPr>
              <w:noProof/>
              <w:kern w:val="2"/>
              <w:sz w:val="24"/>
              <w:szCs w:val="24"/>
              <w14:ligatures w14:val="standardContextual"/>
            </w:rPr>
          </w:pPr>
          <w:hyperlink w:anchor="_Toc215562048" w:history="1">
            <w:r w:rsidRPr="00DB51F2">
              <w:rPr>
                <w:rStyle w:val="Hyperlink"/>
                <w:noProof/>
              </w:rPr>
              <w:t>FORMS OF FRAUD AND MARKET ABUSE</w:t>
            </w:r>
            <w:r>
              <w:rPr>
                <w:noProof/>
                <w:webHidden/>
              </w:rPr>
              <w:tab/>
            </w:r>
            <w:r>
              <w:rPr>
                <w:noProof/>
                <w:webHidden/>
              </w:rPr>
              <w:fldChar w:fldCharType="begin"/>
            </w:r>
            <w:r>
              <w:rPr>
                <w:noProof/>
                <w:webHidden/>
              </w:rPr>
              <w:instrText xml:space="preserve"> PAGEREF _Toc215562048 \h </w:instrText>
            </w:r>
            <w:r>
              <w:rPr>
                <w:noProof/>
                <w:webHidden/>
              </w:rPr>
            </w:r>
            <w:r>
              <w:rPr>
                <w:noProof/>
                <w:webHidden/>
              </w:rPr>
              <w:fldChar w:fldCharType="separate"/>
            </w:r>
            <w:r>
              <w:rPr>
                <w:noProof/>
                <w:webHidden/>
              </w:rPr>
              <w:t>10</w:t>
            </w:r>
            <w:r>
              <w:rPr>
                <w:noProof/>
                <w:webHidden/>
              </w:rPr>
              <w:fldChar w:fldCharType="end"/>
            </w:r>
          </w:hyperlink>
        </w:p>
        <w:p w14:paraId="521E5EA2" w14:textId="0A003AC4" w:rsidR="00795C87" w:rsidRDefault="00795C87">
          <w:pPr>
            <w:pStyle w:val="TOC2"/>
            <w:tabs>
              <w:tab w:val="right" w:leader="dot" w:pos="8630"/>
            </w:tabs>
            <w:rPr>
              <w:noProof/>
              <w:kern w:val="2"/>
              <w:sz w:val="24"/>
              <w:szCs w:val="24"/>
              <w14:ligatures w14:val="standardContextual"/>
            </w:rPr>
          </w:pPr>
          <w:hyperlink w:anchor="_Toc215562049" w:history="1">
            <w:r w:rsidRPr="00DB51F2">
              <w:rPr>
                <w:rStyle w:val="Hyperlink"/>
                <w:noProof/>
              </w:rPr>
              <w:t>1. Financial reporting fraud</w:t>
            </w:r>
            <w:r>
              <w:rPr>
                <w:noProof/>
                <w:webHidden/>
              </w:rPr>
              <w:tab/>
            </w:r>
            <w:r>
              <w:rPr>
                <w:noProof/>
                <w:webHidden/>
              </w:rPr>
              <w:fldChar w:fldCharType="begin"/>
            </w:r>
            <w:r>
              <w:rPr>
                <w:noProof/>
                <w:webHidden/>
              </w:rPr>
              <w:instrText xml:space="preserve"> PAGEREF _Toc215562049 \h </w:instrText>
            </w:r>
            <w:r>
              <w:rPr>
                <w:noProof/>
                <w:webHidden/>
              </w:rPr>
            </w:r>
            <w:r>
              <w:rPr>
                <w:noProof/>
                <w:webHidden/>
              </w:rPr>
              <w:fldChar w:fldCharType="separate"/>
            </w:r>
            <w:r>
              <w:rPr>
                <w:noProof/>
                <w:webHidden/>
              </w:rPr>
              <w:t>10</w:t>
            </w:r>
            <w:r>
              <w:rPr>
                <w:noProof/>
                <w:webHidden/>
              </w:rPr>
              <w:fldChar w:fldCharType="end"/>
            </w:r>
          </w:hyperlink>
        </w:p>
        <w:p w14:paraId="72214EA1" w14:textId="03B07229" w:rsidR="00795C87" w:rsidRDefault="00795C87">
          <w:pPr>
            <w:pStyle w:val="TOC2"/>
            <w:tabs>
              <w:tab w:val="right" w:leader="dot" w:pos="8630"/>
            </w:tabs>
            <w:rPr>
              <w:noProof/>
              <w:kern w:val="2"/>
              <w:sz w:val="24"/>
              <w:szCs w:val="24"/>
              <w14:ligatures w14:val="standardContextual"/>
            </w:rPr>
          </w:pPr>
          <w:hyperlink w:anchor="_Toc215562050" w:history="1">
            <w:r w:rsidRPr="00DB51F2">
              <w:rPr>
                <w:rStyle w:val="Hyperlink"/>
                <w:noProof/>
              </w:rPr>
              <w:t>2. Ponzi and pyramid schemes</w:t>
            </w:r>
            <w:r>
              <w:rPr>
                <w:noProof/>
                <w:webHidden/>
              </w:rPr>
              <w:tab/>
            </w:r>
            <w:r>
              <w:rPr>
                <w:noProof/>
                <w:webHidden/>
              </w:rPr>
              <w:fldChar w:fldCharType="begin"/>
            </w:r>
            <w:r>
              <w:rPr>
                <w:noProof/>
                <w:webHidden/>
              </w:rPr>
              <w:instrText xml:space="preserve"> PAGEREF _Toc215562050 \h </w:instrText>
            </w:r>
            <w:r>
              <w:rPr>
                <w:noProof/>
                <w:webHidden/>
              </w:rPr>
            </w:r>
            <w:r>
              <w:rPr>
                <w:noProof/>
                <w:webHidden/>
              </w:rPr>
              <w:fldChar w:fldCharType="separate"/>
            </w:r>
            <w:r>
              <w:rPr>
                <w:noProof/>
                <w:webHidden/>
              </w:rPr>
              <w:t>10</w:t>
            </w:r>
            <w:r>
              <w:rPr>
                <w:noProof/>
                <w:webHidden/>
              </w:rPr>
              <w:fldChar w:fldCharType="end"/>
            </w:r>
          </w:hyperlink>
        </w:p>
        <w:p w14:paraId="02D27845" w14:textId="77072D8A" w:rsidR="00795C87" w:rsidRDefault="00795C87">
          <w:pPr>
            <w:pStyle w:val="TOC2"/>
            <w:tabs>
              <w:tab w:val="right" w:leader="dot" w:pos="8630"/>
            </w:tabs>
            <w:rPr>
              <w:noProof/>
              <w:kern w:val="2"/>
              <w:sz w:val="24"/>
              <w:szCs w:val="24"/>
              <w14:ligatures w14:val="standardContextual"/>
            </w:rPr>
          </w:pPr>
          <w:hyperlink w:anchor="_Toc215562051" w:history="1">
            <w:r w:rsidRPr="00DB51F2">
              <w:rPr>
                <w:rStyle w:val="Hyperlink"/>
                <w:noProof/>
              </w:rPr>
              <w:t>3. Insider trading</w:t>
            </w:r>
            <w:r>
              <w:rPr>
                <w:noProof/>
                <w:webHidden/>
              </w:rPr>
              <w:tab/>
            </w:r>
            <w:r>
              <w:rPr>
                <w:noProof/>
                <w:webHidden/>
              </w:rPr>
              <w:fldChar w:fldCharType="begin"/>
            </w:r>
            <w:r>
              <w:rPr>
                <w:noProof/>
                <w:webHidden/>
              </w:rPr>
              <w:instrText xml:space="preserve"> PAGEREF _Toc215562051 \h </w:instrText>
            </w:r>
            <w:r>
              <w:rPr>
                <w:noProof/>
                <w:webHidden/>
              </w:rPr>
            </w:r>
            <w:r>
              <w:rPr>
                <w:noProof/>
                <w:webHidden/>
              </w:rPr>
              <w:fldChar w:fldCharType="separate"/>
            </w:r>
            <w:r>
              <w:rPr>
                <w:noProof/>
                <w:webHidden/>
              </w:rPr>
              <w:t>10</w:t>
            </w:r>
            <w:r>
              <w:rPr>
                <w:noProof/>
                <w:webHidden/>
              </w:rPr>
              <w:fldChar w:fldCharType="end"/>
            </w:r>
          </w:hyperlink>
        </w:p>
        <w:p w14:paraId="5F5C9341" w14:textId="4936494D" w:rsidR="00795C87" w:rsidRDefault="00795C87">
          <w:pPr>
            <w:pStyle w:val="TOC1"/>
            <w:tabs>
              <w:tab w:val="right" w:leader="dot" w:pos="8630"/>
            </w:tabs>
            <w:rPr>
              <w:noProof/>
              <w:kern w:val="2"/>
              <w:sz w:val="24"/>
              <w:szCs w:val="24"/>
              <w14:ligatures w14:val="standardContextual"/>
            </w:rPr>
          </w:pPr>
          <w:hyperlink w:anchor="_Toc215562052" w:history="1">
            <w:r w:rsidRPr="00DB51F2">
              <w:rPr>
                <w:rStyle w:val="Hyperlink"/>
                <w:noProof/>
              </w:rPr>
              <w:t>RECENT CASES OF INVESTOR PROTECTION FAILURES</w:t>
            </w:r>
            <w:r>
              <w:rPr>
                <w:noProof/>
                <w:webHidden/>
              </w:rPr>
              <w:tab/>
            </w:r>
            <w:r>
              <w:rPr>
                <w:noProof/>
                <w:webHidden/>
              </w:rPr>
              <w:fldChar w:fldCharType="begin"/>
            </w:r>
            <w:r>
              <w:rPr>
                <w:noProof/>
                <w:webHidden/>
              </w:rPr>
              <w:instrText xml:space="preserve"> PAGEREF _Toc215562052 \h </w:instrText>
            </w:r>
            <w:r>
              <w:rPr>
                <w:noProof/>
                <w:webHidden/>
              </w:rPr>
            </w:r>
            <w:r>
              <w:rPr>
                <w:noProof/>
                <w:webHidden/>
              </w:rPr>
              <w:fldChar w:fldCharType="separate"/>
            </w:r>
            <w:r>
              <w:rPr>
                <w:noProof/>
                <w:webHidden/>
              </w:rPr>
              <w:t>11</w:t>
            </w:r>
            <w:r>
              <w:rPr>
                <w:noProof/>
                <w:webHidden/>
              </w:rPr>
              <w:fldChar w:fldCharType="end"/>
            </w:r>
          </w:hyperlink>
        </w:p>
        <w:p w14:paraId="7D8A1A8D" w14:textId="17B16B93" w:rsidR="00795C87" w:rsidRDefault="00795C87">
          <w:pPr>
            <w:pStyle w:val="TOC2"/>
            <w:tabs>
              <w:tab w:val="left" w:pos="720"/>
              <w:tab w:val="right" w:leader="dot" w:pos="8630"/>
            </w:tabs>
            <w:rPr>
              <w:noProof/>
              <w:kern w:val="2"/>
              <w:sz w:val="24"/>
              <w:szCs w:val="24"/>
              <w14:ligatures w14:val="standardContextual"/>
            </w:rPr>
          </w:pPr>
          <w:hyperlink w:anchor="_Toc215562053" w:history="1">
            <w:r w:rsidRPr="00DB51F2">
              <w:rPr>
                <w:rStyle w:val="Hyperlink"/>
                <w:noProof/>
              </w:rPr>
              <w:t>1.</w:t>
            </w:r>
            <w:r>
              <w:rPr>
                <w:noProof/>
                <w:kern w:val="2"/>
                <w:sz w:val="24"/>
                <w:szCs w:val="24"/>
                <w14:ligatures w14:val="standardContextual"/>
              </w:rPr>
              <w:tab/>
            </w:r>
            <w:r w:rsidRPr="00DB51F2">
              <w:rPr>
                <w:rStyle w:val="Hyperlink"/>
                <w:noProof/>
              </w:rPr>
              <w:t>Wirecard (Germany, 2020)</w:t>
            </w:r>
            <w:r>
              <w:rPr>
                <w:noProof/>
                <w:webHidden/>
              </w:rPr>
              <w:tab/>
            </w:r>
            <w:r>
              <w:rPr>
                <w:noProof/>
                <w:webHidden/>
              </w:rPr>
              <w:fldChar w:fldCharType="begin"/>
            </w:r>
            <w:r>
              <w:rPr>
                <w:noProof/>
                <w:webHidden/>
              </w:rPr>
              <w:instrText xml:space="preserve"> PAGEREF _Toc215562053 \h </w:instrText>
            </w:r>
            <w:r>
              <w:rPr>
                <w:noProof/>
                <w:webHidden/>
              </w:rPr>
            </w:r>
            <w:r>
              <w:rPr>
                <w:noProof/>
                <w:webHidden/>
              </w:rPr>
              <w:fldChar w:fldCharType="separate"/>
            </w:r>
            <w:r>
              <w:rPr>
                <w:noProof/>
                <w:webHidden/>
              </w:rPr>
              <w:t>11</w:t>
            </w:r>
            <w:r>
              <w:rPr>
                <w:noProof/>
                <w:webHidden/>
              </w:rPr>
              <w:fldChar w:fldCharType="end"/>
            </w:r>
          </w:hyperlink>
        </w:p>
        <w:p w14:paraId="36298052" w14:textId="0B26EDBB" w:rsidR="00795C87" w:rsidRDefault="00795C87">
          <w:pPr>
            <w:pStyle w:val="TOC2"/>
            <w:tabs>
              <w:tab w:val="right" w:leader="dot" w:pos="8630"/>
            </w:tabs>
            <w:rPr>
              <w:noProof/>
              <w:kern w:val="2"/>
              <w:sz w:val="24"/>
              <w:szCs w:val="24"/>
              <w14:ligatures w14:val="standardContextual"/>
            </w:rPr>
          </w:pPr>
          <w:hyperlink w:anchor="_Toc215562054" w:history="1">
            <w:r w:rsidRPr="00DB51F2">
              <w:rPr>
                <w:rStyle w:val="Hyperlink"/>
                <w:noProof/>
              </w:rPr>
              <w:t>2. FTX Collapse (Global, 2022)</w:t>
            </w:r>
            <w:r>
              <w:rPr>
                <w:noProof/>
                <w:webHidden/>
              </w:rPr>
              <w:tab/>
            </w:r>
            <w:r>
              <w:rPr>
                <w:noProof/>
                <w:webHidden/>
              </w:rPr>
              <w:fldChar w:fldCharType="begin"/>
            </w:r>
            <w:r>
              <w:rPr>
                <w:noProof/>
                <w:webHidden/>
              </w:rPr>
              <w:instrText xml:space="preserve"> PAGEREF _Toc215562054 \h </w:instrText>
            </w:r>
            <w:r>
              <w:rPr>
                <w:noProof/>
                <w:webHidden/>
              </w:rPr>
            </w:r>
            <w:r>
              <w:rPr>
                <w:noProof/>
                <w:webHidden/>
              </w:rPr>
              <w:fldChar w:fldCharType="separate"/>
            </w:r>
            <w:r>
              <w:rPr>
                <w:noProof/>
                <w:webHidden/>
              </w:rPr>
              <w:t>11</w:t>
            </w:r>
            <w:r>
              <w:rPr>
                <w:noProof/>
                <w:webHidden/>
              </w:rPr>
              <w:fldChar w:fldCharType="end"/>
            </w:r>
          </w:hyperlink>
        </w:p>
        <w:p w14:paraId="712C8F3F" w14:textId="56A76F27" w:rsidR="00795C87" w:rsidRDefault="00795C87">
          <w:pPr>
            <w:pStyle w:val="TOC2"/>
            <w:tabs>
              <w:tab w:val="right" w:leader="dot" w:pos="8630"/>
            </w:tabs>
            <w:rPr>
              <w:noProof/>
              <w:kern w:val="2"/>
              <w:sz w:val="24"/>
              <w:szCs w:val="24"/>
              <w14:ligatures w14:val="standardContextual"/>
            </w:rPr>
          </w:pPr>
          <w:hyperlink w:anchor="_Toc215562055" w:history="1">
            <w:r w:rsidRPr="00DB51F2">
              <w:rPr>
                <w:rStyle w:val="Hyperlink"/>
                <w:noProof/>
              </w:rPr>
              <w:t>3. Archegos Capital (2021)</w:t>
            </w:r>
            <w:r>
              <w:rPr>
                <w:noProof/>
                <w:webHidden/>
              </w:rPr>
              <w:tab/>
            </w:r>
            <w:r>
              <w:rPr>
                <w:noProof/>
                <w:webHidden/>
              </w:rPr>
              <w:fldChar w:fldCharType="begin"/>
            </w:r>
            <w:r>
              <w:rPr>
                <w:noProof/>
                <w:webHidden/>
              </w:rPr>
              <w:instrText xml:space="preserve"> PAGEREF _Toc215562055 \h </w:instrText>
            </w:r>
            <w:r>
              <w:rPr>
                <w:noProof/>
                <w:webHidden/>
              </w:rPr>
            </w:r>
            <w:r>
              <w:rPr>
                <w:noProof/>
                <w:webHidden/>
              </w:rPr>
              <w:fldChar w:fldCharType="separate"/>
            </w:r>
            <w:r>
              <w:rPr>
                <w:noProof/>
                <w:webHidden/>
              </w:rPr>
              <w:t>11</w:t>
            </w:r>
            <w:r>
              <w:rPr>
                <w:noProof/>
                <w:webHidden/>
              </w:rPr>
              <w:fldChar w:fldCharType="end"/>
            </w:r>
          </w:hyperlink>
        </w:p>
        <w:p w14:paraId="55804C56" w14:textId="2D7C3D1C" w:rsidR="00795C87" w:rsidRDefault="00795C87">
          <w:pPr>
            <w:pStyle w:val="TOC2"/>
            <w:tabs>
              <w:tab w:val="right" w:leader="dot" w:pos="8630"/>
            </w:tabs>
            <w:rPr>
              <w:noProof/>
              <w:kern w:val="2"/>
              <w:sz w:val="24"/>
              <w:szCs w:val="24"/>
              <w14:ligatures w14:val="standardContextual"/>
            </w:rPr>
          </w:pPr>
          <w:hyperlink w:anchor="_Toc215562056" w:history="1">
            <w:r w:rsidRPr="00DB51F2">
              <w:rPr>
                <w:rStyle w:val="Hyperlink"/>
                <w:noProof/>
              </w:rPr>
              <w:t>4. North Macedonian cases</w:t>
            </w:r>
            <w:r>
              <w:rPr>
                <w:noProof/>
                <w:webHidden/>
              </w:rPr>
              <w:tab/>
            </w:r>
            <w:r>
              <w:rPr>
                <w:noProof/>
                <w:webHidden/>
              </w:rPr>
              <w:fldChar w:fldCharType="begin"/>
            </w:r>
            <w:r>
              <w:rPr>
                <w:noProof/>
                <w:webHidden/>
              </w:rPr>
              <w:instrText xml:space="preserve"> PAGEREF _Toc215562056 \h </w:instrText>
            </w:r>
            <w:r>
              <w:rPr>
                <w:noProof/>
                <w:webHidden/>
              </w:rPr>
            </w:r>
            <w:r>
              <w:rPr>
                <w:noProof/>
                <w:webHidden/>
              </w:rPr>
              <w:fldChar w:fldCharType="separate"/>
            </w:r>
            <w:r>
              <w:rPr>
                <w:noProof/>
                <w:webHidden/>
              </w:rPr>
              <w:t>11</w:t>
            </w:r>
            <w:r>
              <w:rPr>
                <w:noProof/>
                <w:webHidden/>
              </w:rPr>
              <w:fldChar w:fldCharType="end"/>
            </w:r>
          </w:hyperlink>
        </w:p>
        <w:p w14:paraId="35FD612D" w14:textId="6703AF25" w:rsidR="00795C87" w:rsidRDefault="00795C87">
          <w:pPr>
            <w:pStyle w:val="TOC1"/>
            <w:tabs>
              <w:tab w:val="right" w:leader="dot" w:pos="8630"/>
            </w:tabs>
            <w:rPr>
              <w:noProof/>
              <w:kern w:val="2"/>
              <w:sz w:val="24"/>
              <w:szCs w:val="24"/>
              <w14:ligatures w14:val="standardContextual"/>
            </w:rPr>
          </w:pPr>
          <w:hyperlink w:anchor="_Toc215562057" w:history="1">
            <w:r w:rsidRPr="00DB51F2">
              <w:rPr>
                <w:rStyle w:val="Hyperlink"/>
                <w:noProof/>
              </w:rPr>
              <w:t>CONCLUSION</w:t>
            </w:r>
            <w:r>
              <w:rPr>
                <w:noProof/>
                <w:webHidden/>
              </w:rPr>
              <w:tab/>
            </w:r>
            <w:r>
              <w:rPr>
                <w:noProof/>
                <w:webHidden/>
              </w:rPr>
              <w:fldChar w:fldCharType="begin"/>
            </w:r>
            <w:r>
              <w:rPr>
                <w:noProof/>
                <w:webHidden/>
              </w:rPr>
              <w:instrText xml:space="preserve"> PAGEREF _Toc215562057 \h </w:instrText>
            </w:r>
            <w:r>
              <w:rPr>
                <w:noProof/>
                <w:webHidden/>
              </w:rPr>
            </w:r>
            <w:r>
              <w:rPr>
                <w:noProof/>
                <w:webHidden/>
              </w:rPr>
              <w:fldChar w:fldCharType="separate"/>
            </w:r>
            <w:r>
              <w:rPr>
                <w:noProof/>
                <w:webHidden/>
              </w:rPr>
              <w:t>12</w:t>
            </w:r>
            <w:r>
              <w:rPr>
                <w:noProof/>
                <w:webHidden/>
              </w:rPr>
              <w:fldChar w:fldCharType="end"/>
            </w:r>
          </w:hyperlink>
        </w:p>
        <w:p w14:paraId="5485BE55" w14:textId="58F25BC6" w:rsidR="00795C87" w:rsidRDefault="00795C87">
          <w:pPr>
            <w:pStyle w:val="TOC1"/>
            <w:tabs>
              <w:tab w:val="right" w:leader="dot" w:pos="8630"/>
            </w:tabs>
            <w:rPr>
              <w:noProof/>
              <w:kern w:val="2"/>
              <w:sz w:val="24"/>
              <w:szCs w:val="24"/>
              <w14:ligatures w14:val="standardContextual"/>
            </w:rPr>
          </w:pPr>
          <w:hyperlink w:anchor="_Toc215562058" w:history="1">
            <w:r w:rsidRPr="00DB51F2">
              <w:rPr>
                <w:rStyle w:val="Hyperlink"/>
                <w:noProof/>
              </w:rPr>
              <w:t>References</w:t>
            </w:r>
            <w:r>
              <w:rPr>
                <w:noProof/>
                <w:webHidden/>
              </w:rPr>
              <w:tab/>
            </w:r>
            <w:r>
              <w:rPr>
                <w:noProof/>
                <w:webHidden/>
              </w:rPr>
              <w:fldChar w:fldCharType="begin"/>
            </w:r>
            <w:r>
              <w:rPr>
                <w:noProof/>
                <w:webHidden/>
              </w:rPr>
              <w:instrText xml:space="preserve"> PAGEREF _Toc215562058 \h </w:instrText>
            </w:r>
            <w:r>
              <w:rPr>
                <w:noProof/>
                <w:webHidden/>
              </w:rPr>
            </w:r>
            <w:r>
              <w:rPr>
                <w:noProof/>
                <w:webHidden/>
              </w:rPr>
              <w:fldChar w:fldCharType="separate"/>
            </w:r>
            <w:r>
              <w:rPr>
                <w:noProof/>
                <w:webHidden/>
              </w:rPr>
              <w:t>13</w:t>
            </w:r>
            <w:r>
              <w:rPr>
                <w:noProof/>
                <w:webHidden/>
              </w:rPr>
              <w:fldChar w:fldCharType="end"/>
            </w:r>
          </w:hyperlink>
        </w:p>
        <w:p w14:paraId="0822285B" w14:textId="29E3AB8E" w:rsidR="00002CFB" w:rsidRDefault="00002CFB">
          <w:r>
            <w:rPr>
              <w:b/>
              <w:bCs/>
              <w:noProof/>
            </w:rPr>
            <w:fldChar w:fldCharType="end"/>
          </w:r>
        </w:p>
      </w:sdtContent>
    </w:sdt>
    <w:p w14:paraId="403B5DD4" w14:textId="77777777" w:rsidR="00002CFB" w:rsidRDefault="00002CFB" w:rsidP="00002CFB"/>
    <w:p w14:paraId="3DAEFEA8" w14:textId="77777777" w:rsidR="00002CFB" w:rsidRDefault="00002CFB" w:rsidP="00002CFB"/>
    <w:p w14:paraId="3CAE9120" w14:textId="77777777" w:rsidR="00002CFB" w:rsidRDefault="00002CFB" w:rsidP="00002CFB"/>
    <w:p w14:paraId="45D19D81" w14:textId="77777777" w:rsidR="00002CFB" w:rsidRDefault="00002CFB" w:rsidP="00002CFB"/>
    <w:p w14:paraId="1F6B5C08" w14:textId="77777777" w:rsidR="00002CFB" w:rsidRDefault="00002CFB" w:rsidP="00002CFB"/>
    <w:p w14:paraId="640956DF" w14:textId="77777777" w:rsidR="00002CFB" w:rsidRPr="00002CFB" w:rsidRDefault="00002CFB" w:rsidP="00002CFB"/>
    <w:p w14:paraId="06ECEF9B" w14:textId="19FFCD29" w:rsidR="007177F2" w:rsidRPr="00D80E91" w:rsidRDefault="00754AA7" w:rsidP="002F6701">
      <w:pPr>
        <w:pStyle w:val="Heading1"/>
        <w:rPr>
          <w:b w:val="0"/>
          <w:bCs w:val="0"/>
        </w:rPr>
      </w:pPr>
      <w:bookmarkStart w:id="1" w:name="_Toc215562038"/>
      <w:r>
        <w:t>Introduction</w:t>
      </w:r>
      <w:bookmarkEnd w:id="0"/>
      <w:bookmarkEnd w:id="1"/>
      <w:r>
        <w:t xml:space="preserve"> </w:t>
      </w:r>
    </w:p>
    <w:p w14:paraId="4EBE39A3" w14:textId="29F794FE" w:rsidR="003B6500" w:rsidRPr="0073313F" w:rsidRDefault="003B6500" w:rsidP="002F6701">
      <w:pPr>
        <w:jc w:val="both"/>
        <w:rPr>
          <w:rFonts w:ascii="Times New Roman" w:hAnsi="Times New Roman" w:cs="Times New Roman"/>
          <w:sz w:val="24"/>
          <w:szCs w:val="24"/>
        </w:rPr>
      </w:pPr>
      <w:r w:rsidRPr="0073313F">
        <w:rPr>
          <w:rFonts w:ascii="Times New Roman" w:hAnsi="Times New Roman" w:cs="Times New Roman"/>
          <w:sz w:val="24"/>
          <w:szCs w:val="24"/>
        </w:rPr>
        <w:t>Investor protection is a</w:t>
      </w:r>
      <w:r w:rsidR="009B4031" w:rsidRPr="0073313F">
        <w:rPr>
          <w:rFonts w:ascii="Times New Roman" w:hAnsi="Times New Roman" w:cs="Times New Roman"/>
          <w:sz w:val="24"/>
          <w:szCs w:val="24"/>
        </w:rPr>
        <w:t>n important part</w:t>
      </w:r>
      <w:r w:rsidRPr="0073313F">
        <w:rPr>
          <w:rFonts w:ascii="Times New Roman" w:hAnsi="Times New Roman" w:cs="Times New Roman"/>
          <w:sz w:val="24"/>
          <w:szCs w:val="24"/>
        </w:rPr>
        <w:t xml:space="preserve"> of modern financial markets, serving as the </w:t>
      </w:r>
      <w:r w:rsidR="009B4031" w:rsidRPr="0073313F">
        <w:rPr>
          <w:rFonts w:ascii="Times New Roman" w:hAnsi="Times New Roman" w:cs="Times New Roman"/>
          <w:sz w:val="24"/>
          <w:szCs w:val="24"/>
        </w:rPr>
        <w:t>center</w:t>
      </w:r>
      <w:r w:rsidRPr="0073313F">
        <w:rPr>
          <w:rFonts w:ascii="Times New Roman" w:hAnsi="Times New Roman" w:cs="Times New Roman"/>
          <w:sz w:val="24"/>
          <w:szCs w:val="24"/>
        </w:rPr>
        <w:t xml:space="preserve"> upon which trust, stability, and long-term participation are built. As financial systems evolve, the </w:t>
      </w:r>
      <w:r w:rsidR="009B4031" w:rsidRPr="0073313F">
        <w:rPr>
          <w:rFonts w:ascii="Times New Roman" w:hAnsi="Times New Roman" w:cs="Times New Roman"/>
          <w:sz w:val="24"/>
          <w:szCs w:val="24"/>
        </w:rPr>
        <w:t>field</w:t>
      </w:r>
      <w:r w:rsidRPr="0073313F">
        <w:rPr>
          <w:rFonts w:ascii="Times New Roman" w:hAnsi="Times New Roman" w:cs="Times New Roman"/>
          <w:sz w:val="24"/>
          <w:szCs w:val="24"/>
        </w:rPr>
        <w:t xml:space="preserve"> of investment has become increasingly complex: trading now occurs at high speeds, across multiple jurisdictions, and through </w:t>
      </w:r>
      <w:r w:rsidR="009B4031" w:rsidRPr="0073313F">
        <w:rPr>
          <w:rFonts w:ascii="Times New Roman" w:hAnsi="Times New Roman" w:cs="Times New Roman"/>
          <w:sz w:val="24"/>
          <w:szCs w:val="24"/>
        </w:rPr>
        <w:t>modern</w:t>
      </w:r>
      <w:r w:rsidRPr="0073313F">
        <w:rPr>
          <w:rFonts w:ascii="Times New Roman" w:hAnsi="Times New Roman" w:cs="Times New Roman"/>
          <w:sz w:val="24"/>
          <w:szCs w:val="24"/>
        </w:rPr>
        <w:t xml:space="preserve"> instruments that most retail investors struggle to fully understand. At the same time, technological innovation, algorithmic trading, and global interconnectedness have </w:t>
      </w:r>
      <w:r w:rsidR="009B4031" w:rsidRPr="0073313F">
        <w:rPr>
          <w:rFonts w:ascii="Times New Roman" w:hAnsi="Times New Roman" w:cs="Times New Roman"/>
          <w:sz w:val="24"/>
          <w:szCs w:val="24"/>
        </w:rPr>
        <w:t>improved</w:t>
      </w:r>
      <w:r w:rsidRPr="0073313F">
        <w:rPr>
          <w:rFonts w:ascii="Times New Roman" w:hAnsi="Times New Roman" w:cs="Times New Roman"/>
          <w:sz w:val="24"/>
          <w:szCs w:val="24"/>
        </w:rPr>
        <w:t xml:space="preserve"> both opportunities and risks. In such an environment, investors depend heavily on the integrity of market institutions, the transparency of information, and the fairness of trading practices.</w:t>
      </w:r>
      <w:r w:rsidR="00540532" w:rsidRPr="0073313F">
        <w:rPr>
          <w:rFonts w:ascii="Times New Roman" w:hAnsi="Times New Roman" w:cs="Times New Roman"/>
          <w:sz w:val="24"/>
          <w:szCs w:val="24"/>
        </w:rPr>
        <w:t xml:space="preserve"> </w:t>
      </w:r>
      <w:sdt>
        <w:sdtPr>
          <w:rPr>
            <w:rFonts w:ascii="Times New Roman" w:hAnsi="Times New Roman" w:cs="Times New Roman"/>
            <w:sz w:val="24"/>
            <w:szCs w:val="24"/>
          </w:rPr>
          <w:id w:val="-689683827"/>
          <w:citation/>
        </w:sdtPr>
        <w:sdtContent>
          <w:r w:rsidR="00540532" w:rsidRPr="0073313F">
            <w:rPr>
              <w:rFonts w:ascii="Times New Roman" w:hAnsi="Times New Roman" w:cs="Times New Roman"/>
              <w:sz w:val="24"/>
              <w:szCs w:val="24"/>
            </w:rPr>
            <w:fldChar w:fldCharType="begin"/>
          </w:r>
          <w:r w:rsidR="00540532" w:rsidRPr="0073313F">
            <w:rPr>
              <w:rFonts w:ascii="Times New Roman" w:hAnsi="Times New Roman" w:cs="Times New Roman"/>
              <w:sz w:val="24"/>
              <w:szCs w:val="24"/>
            </w:rPr>
            <w:instrText xml:space="preserve"> CITATION Int17 \l 1033 </w:instrText>
          </w:r>
          <w:r w:rsidR="00540532" w:rsidRPr="0073313F">
            <w:rPr>
              <w:rFonts w:ascii="Times New Roman" w:hAnsi="Times New Roman" w:cs="Times New Roman"/>
              <w:sz w:val="24"/>
              <w:szCs w:val="24"/>
            </w:rPr>
            <w:fldChar w:fldCharType="separate"/>
          </w:r>
          <w:r w:rsidR="00C06ABD" w:rsidRPr="0073313F">
            <w:rPr>
              <w:rFonts w:ascii="Times New Roman" w:hAnsi="Times New Roman" w:cs="Times New Roman"/>
              <w:noProof/>
              <w:sz w:val="24"/>
              <w:szCs w:val="24"/>
            </w:rPr>
            <w:t>(Comissions, 2017 )</w:t>
          </w:r>
          <w:r w:rsidR="00540532" w:rsidRPr="0073313F">
            <w:rPr>
              <w:rFonts w:ascii="Times New Roman" w:hAnsi="Times New Roman" w:cs="Times New Roman"/>
              <w:sz w:val="24"/>
              <w:szCs w:val="24"/>
            </w:rPr>
            <w:fldChar w:fldCharType="end"/>
          </w:r>
        </w:sdtContent>
      </w:sdt>
    </w:p>
    <w:p w14:paraId="4B796C69" w14:textId="43F6561A" w:rsidR="003B6500" w:rsidRPr="0073313F" w:rsidRDefault="003B6500" w:rsidP="002F6701">
      <w:pPr>
        <w:jc w:val="both"/>
        <w:rPr>
          <w:rFonts w:ascii="Times New Roman" w:hAnsi="Times New Roman" w:cs="Times New Roman"/>
          <w:sz w:val="24"/>
          <w:szCs w:val="24"/>
        </w:rPr>
      </w:pPr>
      <w:r w:rsidRPr="0073313F">
        <w:rPr>
          <w:rFonts w:ascii="Times New Roman" w:hAnsi="Times New Roman" w:cs="Times New Roman"/>
          <w:sz w:val="24"/>
          <w:szCs w:val="24"/>
        </w:rPr>
        <w:t>The legal</w:t>
      </w:r>
      <w:r w:rsidR="00F85F96" w:rsidRPr="0073313F">
        <w:rPr>
          <w:rFonts w:ascii="Times New Roman" w:hAnsi="Times New Roman" w:cs="Times New Roman"/>
          <w:sz w:val="24"/>
          <w:szCs w:val="24"/>
        </w:rPr>
        <w:t xml:space="preserve"> </w:t>
      </w:r>
      <w:r w:rsidRPr="0073313F">
        <w:rPr>
          <w:rFonts w:ascii="Times New Roman" w:hAnsi="Times New Roman" w:cs="Times New Roman"/>
          <w:sz w:val="24"/>
          <w:szCs w:val="24"/>
        </w:rPr>
        <w:t xml:space="preserve">frameworks </w:t>
      </w:r>
      <w:r w:rsidR="00F85F96" w:rsidRPr="0073313F">
        <w:rPr>
          <w:rFonts w:ascii="Times New Roman" w:hAnsi="Times New Roman" w:cs="Times New Roman"/>
          <w:sz w:val="24"/>
          <w:szCs w:val="24"/>
        </w:rPr>
        <w:t>regulating</w:t>
      </w:r>
      <w:r w:rsidRPr="0073313F">
        <w:rPr>
          <w:rFonts w:ascii="Times New Roman" w:hAnsi="Times New Roman" w:cs="Times New Roman"/>
          <w:sz w:val="24"/>
          <w:szCs w:val="24"/>
        </w:rPr>
        <w:t xml:space="preserve"> securities markets therefore pursue two essential objectives. First, they aim to </w:t>
      </w:r>
      <w:r w:rsidR="00F85F96" w:rsidRPr="0073313F">
        <w:rPr>
          <w:rFonts w:ascii="Times New Roman" w:hAnsi="Times New Roman" w:cs="Times New Roman"/>
          <w:sz w:val="24"/>
          <w:szCs w:val="24"/>
        </w:rPr>
        <w:t>create</w:t>
      </w:r>
      <w:r w:rsidRPr="0073313F">
        <w:rPr>
          <w:rFonts w:ascii="Times New Roman" w:hAnsi="Times New Roman" w:cs="Times New Roman"/>
          <w:sz w:val="24"/>
          <w:szCs w:val="24"/>
        </w:rPr>
        <w:t xml:space="preserve"> efficient capital formation by </w:t>
      </w:r>
      <w:r w:rsidR="00F85F96" w:rsidRPr="0073313F">
        <w:rPr>
          <w:rFonts w:ascii="Times New Roman" w:hAnsi="Times New Roman" w:cs="Times New Roman"/>
          <w:sz w:val="24"/>
          <w:szCs w:val="24"/>
        </w:rPr>
        <w:t>allowing</w:t>
      </w:r>
      <w:r w:rsidRPr="0073313F">
        <w:rPr>
          <w:rFonts w:ascii="Times New Roman" w:hAnsi="Times New Roman" w:cs="Times New Roman"/>
          <w:sz w:val="24"/>
          <w:szCs w:val="24"/>
        </w:rPr>
        <w:t xml:space="preserve"> companies to raise funds transparently and competitively. Second, and equally important, they seek to </w:t>
      </w:r>
      <w:r w:rsidR="00F85F96" w:rsidRPr="0073313F">
        <w:rPr>
          <w:rFonts w:ascii="Times New Roman" w:hAnsi="Times New Roman" w:cs="Times New Roman"/>
          <w:sz w:val="24"/>
          <w:szCs w:val="24"/>
        </w:rPr>
        <w:t>protect</w:t>
      </w:r>
      <w:r w:rsidRPr="0073313F">
        <w:rPr>
          <w:rFonts w:ascii="Times New Roman" w:hAnsi="Times New Roman" w:cs="Times New Roman"/>
          <w:sz w:val="24"/>
          <w:szCs w:val="24"/>
        </w:rPr>
        <w:t xml:space="preserve"> investors from fraud, manipulation, insider trading, </w:t>
      </w:r>
      <w:r w:rsidR="00F85F96" w:rsidRPr="0073313F">
        <w:rPr>
          <w:rFonts w:ascii="Times New Roman" w:hAnsi="Times New Roman" w:cs="Times New Roman"/>
          <w:sz w:val="24"/>
          <w:szCs w:val="24"/>
        </w:rPr>
        <w:t>false</w:t>
      </w:r>
      <w:r w:rsidRPr="0073313F">
        <w:rPr>
          <w:rFonts w:ascii="Times New Roman" w:hAnsi="Times New Roman" w:cs="Times New Roman"/>
          <w:sz w:val="24"/>
          <w:szCs w:val="24"/>
        </w:rPr>
        <w:t xml:space="preserve"> disclosures, and </w:t>
      </w:r>
      <w:r w:rsidR="00F85F96" w:rsidRPr="0073313F">
        <w:rPr>
          <w:rFonts w:ascii="Times New Roman" w:hAnsi="Times New Roman" w:cs="Times New Roman"/>
          <w:sz w:val="24"/>
          <w:szCs w:val="24"/>
        </w:rPr>
        <w:t>other conduct</w:t>
      </w:r>
      <w:r w:rsidRPr="0073313F">
        <w:rPr>
          <w:rFonts w:ascii="Times New Roman" w:hAnsi="Times New Roman" w:cs="Times New Roman"/>
          <w:sz w:val="24"/>
          <w:szCs w:val="24"/>
        </w:rPr>
        <w:t xml:space="preserve"> that undermines market fairness. Investor protection is not merely a defensive mechanism; it is a </w:t>
      </w:r>
      <w:r w:rsidR="00F85F96" w:rsidRPr="0073313F">
        <w:rPr>
          <w:rFonts w:ascii="Times New Roman" w:hAnsi="Times New Roman" w:cs="Times New Roman"/>
          <w:sz w:val="24"/>
          <w:szCs w:val="24"/>
        </w:rPr>
        <w:t>condition</w:t>
      </w:r>
      <w:r w:rsidRPr="0073313F">
        <w:rPr>
          <w:rFonts w:ascii="Times New Roman" w:hAnsi="Times New Roman" w:cs="Times New Roman"/>
          <w:sz w:val="24"/>
          <w:szCs w:val="24"/>
        </w:rPr>
        <w:t xml:space="preserve"> for sustainable market growth. When investors trust that markets operate honestly and that their rights are respected, they participate more, which in turn strengthens financial stability and supports </w:t>
      </w:r>
      <w:r w:rsidR="00F85F96" w:rsidRPr="0073313F">
        <w:rPr>
          <w:rFonts w:ascii="Times New Roman" w:hAnsi="Times New Roman" w:cs="Times New Roman"/>
          <w:sz w:val="24"/>
          <w:szCs w:val="24"/>
        </w:rPr>
        <w:t>wider</w:t>
      </w:r>
      <w:r w:rsidRPr="0073313F">
        <w:rPr>
          <w:rFonts w:ascii="Times New Roman" w:hAnsi="Times New Roman" w:cs="Times New Roman"/>
          <w:sz w:val="24"/>
          <w:szCs w:val="24"/>
        </w:rPr>
        <w:t xml:space="preserve"> economic development.</w:t>
      </w:r>
    </w:p>
    <w:p w14:paraId="2C1412A8" w14:textId="3B759B95" w:rsidR="00976DE1" w:rsidRPr="0073313F" w:rsidRDefault="003B6500"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However, when these protective conditions </w:t>
      </w:r>
      <w:r w:rsidR="00F85F96" w:rsidRPr="0073313F">
        <w:rPr>
          <w:rFonts w:ascii="Times New Roman" w:hAnsi="Times New Roman" w:cs="Times New Roman"/>
          <w:sz w:val="24"/>
          <w:szCs w:val="24"/>
        </w:rPr>
        <w:t>collapse</w:t>
      </w:r>
      <w:r w:rsidRPr="0073313F">
        <w:rPr>
          <w:rFonts w:ascii="Times New Roman" w:hAnsi="Times New Roman" w:cs="Times New Roman"/>
          <w:sz w:val="24"/>
          <w:szCs w:val="24"/>
        </w:rPr>
        <w:t xml:space="preserve">—whether through dishonest reporting, market manipulation, insider advantages, or conflicts of interest—the consequences </w:t>
      </w:r>
      <w:r w:rsidR="00F85F96" w:rsidRPr="0073313F">
        <w:rPr>
          <w:rFonts w:ascii="Times New Roman" w:hAnsi="Times New Roman" w:cs="Times New Roman"/>
          <w:sz w:val="24"/>
          <w:szCs w:val="24"/>
        </w:rPr>
        <w:t>are</w:t>
      </w:r>
      <w:r w:rsidR="00540532" w:rsidRPr="0073313F">
        <w:rPr>
          <w:rFonts w:ascii="Times New Roman" w:hAnsi="Times New Roman" w:cs="Times New Roman"/>
          <w:sz w:val="24"/>
          <w:szCs w:val="24"/>
        </w:rPr>
        <w:t xml:space="preserve"> </w:t>
      </w:r>
      <w:r w:rsidR="00F85F96" w:rsidRPr="0073313F">
        <w:rPr>
          <w:rFonts w:ascii="Times New Roman" w:hAnsi="Times New Roman" w:cs="Times New Roman"/>
          <w:sz w:val="24"/>
          <w:szCs w:val="24"/>
        </w:rPr>
        <w:t>not</w:t>
      </w:r>
      <w:r w:rsidR="00540532" w:rsidRPr="0073313F">
        <w:rPr>
          <w:rFonts w:ascii="Times New Roman" w:hAnsi="Times New Roman" w:cs="Times New Roman"/>
          <w:sz w:val="24"/>
          <w:szCs w:val="24"/>
        </w:rPr>
        <w:t xml:space="preserve"> only</w:t>
      </w:r>
      <w:r w:rsidRPr="0073313F">
        <w:rPr>
          <w:rFonts w:ascii="Times New Roman" w:hAnsi="Times New Roman" w:cs="Times New Roman"/>
          <w:sz w:val="24"/>
          <w:szCs w:val="24"/>
        </w:rPr>
        <w:t xml:space="preserve"> individual losses. The credibility of the entire financial system </w:t>
      </w:r>
      <w:r w:rsidR="00540532" w:rsidRPr="0073313F">
        <w:rPr>
          <w:rFonts w:ascii="Times New Roman" w:hAnsi="Times New Roman" w:cs="Times New Roman"/>
          <w:sz w:val="24"/>
          <w:szCs w:val="24"/>
        </w:rPr>
        <w:t>goes down</w:t>
      </w:r>
      <w:r w:rsidRPr="0073313F">
        <w:rPr>
          <w:rFonts w:ascii="Times New Roman" w:hAnsi="Times New Roman" w:cs="Times New Roman"/>
          <w:sz w:val="24"/>
          <w:szCs w:val="24"/>
        </w:rPr>
        <w:t xml:space="preserve">. </w:t>
      </w:r>
      <w:r w:rsidR="00540532" w:rsidRPr="0073313F">
        <w:rPr>
          <w:rFonts w:ascii="Times New Roman" w:hAnsi="Times New Roman" w:cs="Times New Roman"/>
          <w:sz w:val="24"/>
          <w:szCs w:val="24"/>
        </w:rPr>
        <w:t>Therefore</w:t>
      </w:r>
      <w:r w:rsidRPr="0073313F">
        <w:rPr>
          <w:rFonts w:ascii="Times New Roman" w:hAnsi="Times New Roman" w:cs="Times New Roman"/>
          <w:sz w:val="24"/>
          <w:szCs w:val="24"/>
        </w:rPr>
        <w:t xml:space="preserve">, in </w:t>
      </w:r>
      <w:r w:rsidR="00540532" w:rsidRPr="0073313F">
        <w:rPr>
          <w:rFonts w:ascii="Times New Roman" w:hAnsi="Times New Roman" w:cs="Times New Roman"/>
          <w:sz w:val="24"/>
          <w:szCs w:val="24"/>
        </w:rPr>
        <w:t>today’s</w:t>
      </w:r>
      <w:r w:rsidRPr="0073313F">
        <w:rPr>
          <w:rFonts w:ascii="Times New Roman" w:hAnsi="Times New Roman" w:cs="Times New Roman"/>
          <w:sz w:val="24"/>
          <w:szCs w:val="24"/>
        </w:rPr>
        <w:t xml:space="preserve"> global markets, </w:t>
      </w:r>
      <w:r w:rsidR="00540532" w:rsidRPr="0073313F">
        <w:rPr>
          <w:rFonts w:ascii="Times New Roman" w:hAnsi="Times New Roman" w:cs="Times New Roman"/>
          <w:sz w:val="24"/>
          <w:szCs w:val="24"/>
        </w:rPr>
        <w:t>strong</w:t>
      </w:r>
      <w:r w:rsidRPr="0073313F">
        <w:rPr>
          <w:rFonts w:ascii="Times New Roman" w:hAnsi="Times New Roman" w:cs="Times New Roman"/>
          <w:sz w:val="24"/>
          <w:szCs w:val="24"/>
        </w:rPr>
        <w:t xml:space="preserve"> investor protection remains </w:t>
      </w:r>
      <w:r w:rsidR="00540532" w:rsidRPr="0073313F">
        <w:rPr>
          <w:rFonts w:ascii="Times New Roman" w:hAnsi="Times New Roman" w:cs="Times New Roman"/>
          <w:sz w:val="24"/>
          <w:szCs w:val="24"/>
        </w:rPr>
        <w:t>crucial</w:t>
      </w:r>
      <w:r w:rsidRPr="0073313F">
        <w:rPr>
          <w:rFonts w:ascii="Times New Roman" w:hAnsi="Times New Roman" w:cs="Times New Roman"/>
          <w:sz w:val="24"/>
          <w:szCs w:val="24"/>
        </w:rPr>
        <w:t xml:space="preserve"> for maintaining transparency, promoting fairness, and ensuring that markets function as engines of economic progress rather than platforms for exploitation.</w:t>
      </w:r>
    </w:p>
    <w:p w14:paraId="0215071B" w14:textId="718FFD04" w:rsidR="009B4031" w:rsidRPr="0073313F" w:rsidRDefault="009B4031"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We are going to mention some examples of some recent investors protection failures which are used as examples how to better protect future investments by </w:t>
      </w:r>
      <w:r w:rsidR="009E0BBC" w:rsidRPr="0073313F">
        <w:rPr>
          <w:rFonts w:ascii="Times New Roman" w:hAnsi="Times New Roman" w:cs="Times New Roman"/>
          <w:sz w:val="24"/>
          <w:szCs w:val="24"/>
        </w:rPr>
        <w:t>analyzing</w:t>
      </w:r>
      <w:r w:rsidRPr="0073313F">
        <w:rPr>
          <w:rFonts w:ascii="Times New Roman" w:hAnsi="Times New Roman" w:cs="Times New Roman"/>
          <w:sz w:val="24"/>
          <w:szCs w:val="24"/>
        </w:rPr>
        <w:t xml:space="preserve"> cases where the legal framework has failed.</w:t>
      </w:r>
    </w:p>
    <w:p w14:paraId="731D6429" w14:textId="77777777" w:rsidR="00976DE1" w:rsidRDefault="00976DE1"/>
    <w:p w14:paraId="79D4E0F7" w14:textId="77777777" w:rsidR="00976DE1" w:rsidRDefault="00976DE1"/>
    <w:p w14:paraId="5A65B8BD" w14:textId="77777777" w:rsidR="00976DE1" w:rsidRDefault="00976DE1"/>
    <w:p w14:paraId="7141D3DC" w14:textId="77777777" w:rsidR="002F6701" w:rsidRDefault="002F6701"/>
    <w:p w14:paraId="40A54918" w14:textId="0D0B16E1" w:rsidR="007177F2" w:rsidRPr="00976DE1" w:rsidRDefault="00000000" w:rsidP="002F6701">
      <w:pPr>
        <w:pStyle w:val="Heading1"/>
        <w:rPr>
          <w:b w:val="0"/>
          <w:bCs w:val="0"/>
        </w:rPr>
      </w:pPr>
      <w:bookmarkStart w:id="2" w:name="_Toc214967407"/>
      <w:bookmarkStart w:id="3" w:name="_Toc215562039"/>
      <w:r w:rsidRPr="00976DE1">
        <w:lastRenderedPageBreak/>
        <w:t>NATIONAL AND EU LEGAL FRAMEWORK</w:t>
      </w:r>
      <w:bookmarkEnd w:id="2"/>
      <w:bookmarkEnd w:id="3"/>
    </w:p>
    <w:p w14:paraId="1EB63184" w14:textId="01B8D173" w:rsidR="007177F2" w:rsidRPr="0073313F" w:rsidRDefault="00002CFB"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The EU framework is </w:t>
      </w:r>
      <w:r w:rsidR="00DB08F5" w:rsidRPr="0073313F">
        <w:rPr>
          <w:rFonts w:ascii="Times New Roman" w:hAnsi="Times New Roman" w:cs="Times New Roman"/>
          <w:sz w:val="24"/>
          <w:szCs w:val="24"/>
        </w:rPr>
        <w:t>wider</w:t>
      </w:r>
      <w:r w:rsidRPr="0073313F">
        <w:rPr>
          <w:rFonts w:ascii="Times New Roman" w:hAnsi="Times New Roman" w:cs="Times New Roman"/>
          <w:sz w:val="24"/>
          <w:szCs w:val="24"/>
        </w:rPr>
        <w:t xml:space="preserve">, more harmonized, and enforced through a </w:t>
      </w:r>
      <w:r w:rsidR="00DB08F5" w:rsidRPr="0073313F">
        <w:rPr>
          <w:rFonts w:ascii="Times New Roman" w:hAnsi="Times New Roman" w:cs="Times New Roman"/>
          <w:sz w:val="24"/>
          <w:szCs w:val="24"/>
        </w:rPr>
        <w:t>complex</w:t>
      </w:r>
      <w:r w:rsidRPr="0073313F">
        <w:rPr>
          <w:rFonts w:ascii="Times New Roman" w:hAnsi="Times New Roman" w:cs="Times New Roman"/>
          <w:sz w:val="24"/>
          <w:szCs w:val="24"/>
        </w:rPr>
        <w:t xml:space="preserve"> system consisting of EU directives, regulations, and guidelines issued by ESMA (European Securities and Markets Authority). Among the most important EU instruments are:</w:t>
      </w:r>
    </w:p>
    <w:p w14:paraId="4E964881" w14:textId="77777777" w:rsidR="007177F2" w:rsidRPr="0073313F" w:rsidRDefault="00000000" w:rsidP="002F6701">
      <w:pPr>
        <w:jc w:val="both"/>
        <w:rPr>
          <w:rFonts w:ascii="Times New Roman" w:hAnsi="Times New Roman" w:cs="Times New Roman"/>
          <w:sz w:val="24"/>
          <w:szCs w:val="24"/>
        </w:rPr>
      </w:pPr>
      <w:r w:rsidRPr="0073313F">
        <w:rPr>
          <w:rFonts w:ascii="Times New Roman" w:hAnsi="Times New Roman" w:cs="Times New Roman"/>
          <w:sz w:val="24"/>
          <w:szCs w:val="24"/>
        </w:rPr>
        <w:t>- MiFID II (Markets in Financial Instruments Directive),</w:t>
      </w:r>
    </w:p>
    <w:p w14:paraId="76685580" w14:textId="77777777" w:rsidR="007177F2" w:rsidRPr="0073313F" w:rsidRDefault="00000000"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 </w:t>
      </w:r>
      <w:proofErr w:type="spellStart"/>
      <w:r w:rsidRPr="0073313F">
        <w:rPr>
          <w:rFonts w:ascii="Times New Roman" w:hAnsi="Times New Roman" w:cs="Times New Roman"/>
          <w:sz w:val="24"/>
          <w:szCs w:val="24"/>
        </w:rPr>
        <w:t>MiFIR</w:t>
      </w:r>
      <w:proofErr w:type="spellEnd"/>
      <w:r w:rsidRPr="0073313F">
        <w:rPr>
          <w:rFonts w:ascii="Times New Roman" w:hAnsi="Times New Roman" w:cs="Times New Roman"/>
          <w:sz w:val="24"/>
          <w:szCs w:val="24"/>
        </w:rPr>
        <w:t xml:space="preserve"> (Markets in Financial Instruments Regulation),</w:t>
      </w:r>
    </w:p>
    <w:p w14:paraId="1BA50B22" w14:textId="77777777" w:rsidR="007177F2" w:rsidRPr="0073313F" w:rsidRDefault="00000000" w:rsidP="002F6701">
      <w:pPr>
        <w:jc w:val="both"/>
        <w:rPr>
          <w:rFonts w:ascii="Times New Roman" w:hAnsi="Times New Roman" w:cs="Times New Roman"/>
          <w:sz w:val="24"/>
          <w:szCs w:val="24"/>
        </w:rPr>
      </w:pPr>
      <w:r w:rsidRPr="0073313F">
        <w:rPr>
          <w:rFonts w:ascii="Times New Roman" w:hAnsi="Times New Roman" w:cs="Times New Roman"/>
          <w:sz w:val="24"/>
          <w:szCs w:val="24"/>
        </w:rPr>
        <w:t>- MAR (Market Abuse Regulation),</w:t>
      </w:r>
    </w:p>
    <w:p w14:paraId="25A8E61A" w14:textId="77777777" w:rsidR="007177F2" w:rsidRPr="0073313F" w:rsidRDefault="00000000" w:rsidP="002F6701">
      <w:pPr>
        <w:jc w:val="both"/>
        <w:rPr>
          <w:rFonts w:ascii="Times New Roman" w:hAnsi="Times New Roman" w:cs="Times New Roman"/>
          <w:sz w:val="24"/>
          <w:szCs w:val="24"/>
        </w:rPr>
      </w:pPr>
      <w:r w:rsidRPr="0073313F">
        <w:rPr>
          <w:rFonts w:ascii="Times New Roman" w:hAnsi="Times New Roman" w:cs="Times New Roman"/>
          <w:sz w:val="24"/>
          <w:szCs w:val="24"/>
        </w:rPr>
        <w:t>- The Prospectus Regulation,</w:t>
      </w:r>
    </w:p>
    <w:p w14:paraId="5B90499D" w14:textId="77777777" w:rsidR="007177F2" w:rsidRPr="0073313F" w:rsidRDefault="00000000" w:rsidP="002F6701">
      <w:pPr>
        <w:jc w:val="both"/>
        <w:rPr>
          <w:rFonts w:ascii="Times New Roman" w:hAnsi="Times New Roman" w:cs="Times New Roman"/>
          <w:sz w:val="24"/>
          <w:szCs w:val="24"/>
        </w:rPr>
      </w:pPr>
      <w:r w:rsidRPr="0073313F">
        <w:rPr>
          <w:rFonts w:ascii="Times New Roman" w:hAnsi="Times New Roman" w:cs="Times New Roman"/>
          <w:sz w:val="24"/>
          <w:szCs w:val="24"/>
        </w:rPr>
        <w:t>- The Transparency Directive,</w:t>
      </w:r>
    </w:p>
    <w:p w14:paraId="01431BF5" w14:textId="1796E8EC" w:rsidR="00F11F8E" w:rsidRPr="0073313F" w:rsidRDefault="00000000" w:rsidP="002F6701">
      <w:pPr>
        <w:jc w:val="both"/>
        <w:rPr>
          <w:rFonts w:ascii="Times New Roman" w:hAnsi="Times New Roman" w:cs="Times New Roman"/>
          <w:sz w:val="24"/>
          <w:szCs w:val="24"/>
        </w:rPr>
      </w:pPr>
      <w:r w:rsidRPr="0073313F">
        <w:rPr>
          <w:rFonts w:ascii="Times New Roman" w:hAnsi="Times New Roman" w:cs="Times New Roman"/>
          <w:sz w:val="24"/>
          <w:szCs w:val="24"/>
        </w:rPr>
        <w:t>- The Shareholder Rights Directive.</w:t>
      </w:r>
      <w:r w:rsidR="00F11F8E" w:rsidRPr="0073313F">
        <w:rPr>
          <w:rFonts w:ascii="Times New Roman" w:hAnsi="Times New Roman" w:cs="Times New Roman"/>
          <w:sz w:val="24"/>
          <w:szCs w:val="24"/>
        </w:rPr>
        <w:t xml:space="preserve"> </w:t>
      </w:r>
      <w:sdt>
        <w:sdtPr>
          <w:rPr>
            <w:rFonts w:ascii="Times New Roman" w:hAnsi="Times New Roman" w:cs="Times New Roman"/>
            <w:sz w:val="24"/>
            <w:szCs w:val="24"/>
          </w:rPr>
          <w:id w:val="-627544845"/>
          <w:citation/>
        </w:sdtPr>
        <w:sdtContent>
          <w:r w:rsidR="00F11F8E" w:rsidRPr="0073313F">
            <w:rPr>
              <w:rFonts w:ascii="Times New Roman" w:hAnsi="Times New Roman" w:cs="Times New Roman"/>
              <w:sz w:val="24"/>
              <w:szCs w:val="24"/>
            </w:rPr>
            <w:fldChar w:fldCharType="begin"/>
          </w:r>
          <w:r w:rsidR="00F11F8E" w:rsidRPr="0073313F">
            <w:rPr>
              <w:rFonts w:ascii="Times New Roman" w:hAnsi="Times New Roman" w:cs="Times New Roman"/>
              <w:sz w:val="24"/>
              <w:szCs w:val="24"/>
            </w:rPr>
            <w:instrText xml:space="preserve"> CITATION Eur \l 1033 </w:instrText>
          </w:r>
          <w:r w:rsidR="00F11F8E" w:rsidRPr="0073313F">
            <w:rPr>
              <w:rFonts w:ascii="Times New Roman" w:hAnsi="Times New Roman" w:cs="Times New Roman"/>
              <w:sz w:val="24"/>
              <w:szCs w:val="24"/>
            </w:rPr>
            <w:fldChar w:fldCharType="separate"/>
          </w:r>
          <w:r w:rsidR="00C06ABD" w:rsidRPr="0073313F">
            <w:rPr>
              <w:rFonts w:ascii="Times New Roman" w:hAnsi="Times New Roman" w:cs="Times New Roman"/>
              <w:noProof/>
              <w:sz w:val="24"/>
              <w:szCs w:val="24"/>
            </w:rPr>
            <w:t>((ESMA))</w:t>
          </w:r>
          <w:r w:rsidR="00F11F8E" w:rsidRPr="0073313F">
            <w:rPr>
              <w:rFonts w:ascii="Times New Roman" w:hAnsi="Times New Roman" w:cs="Times New Roman"/>
              <w:sz w:val="24"/>
              <w:szCs w:val="24"/>
            </w:rPr>
            <w:fldChar w:fldCharType="end"/>
          </w:r>
        </w:sdtContent>
      </w:sdt>
    </w:p>
    <w:p w14:paraId="3E2CDB8C" w14:textId="6DE7F42C" w:rsidR="007177F2" w:rsidRPr="0073313F" w:rsidRDefault="00000000"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These instruments work together to </w:t>
      </w:r>
      <w:proofErr w:type="spellStart"/>
      <w:r w:rsidR="00421818" w:rsidRPr="0073313F">
        <w:rPr>
          <w:rFonts w:ascii="Times New Roman" w:hAnsi="Times New Roman" w:cs="Times New Roman"/>
          <w:sz w:val="24"/>
          <w:szCs w:val="24"/>
        </w:rPr>
        <w:t>protecti</w:t>
      </w:r>
      <w:proofErr w:type="spellEnd"/>
      <w:r w:rsidRPr="0073313F">
        <w:rPr>
          <w:rFonts w:ascii="Times New Roman" w:hAnsi="Times New Roman" w:cs="Times New Roman"/>
          <w:sz w:val="24"/>
          <w:szCs w:val="24"/>
        </w:rPr>
        <w:t xml:space="preserve"> investor rights, prevent systemic risks, and </w:t>
      </w:r>
      <w:r w:rsidR="00421818" w:rsidRPr="0073313F">
        <w:rPr>
          <w:rFonts w:ascii="Times New Roman" w:hAnsi="Times New Roman" w:cs="Times New Roman"/>
          <w:sz w:val="24"/>
          <w:szCs w:val="24"/>
        </w:rPr>
        <w:t>regulate</w:t>
      </w:r>
      <w:r w:rsidRPr="0073313F">
        <w:rPr>
          <w:rFonts w:ascii="Times New Roman" w:hAnsi="Times New Roman" w:cs="Times New Roman"/>
          <w:sz w:val="24"/>
          <w:szCs w:val="24"/>
        </w:rPr>
        <w:t xml:space="preserve"> protections across all EU member states. Even though North Macedonia is not yet a member, its laws </w:t>
      </w:r>
      <w:r w:rsidR="00421818" w:rsidRPr="0073313F">
        <w:rPr>
          <w:rFonts w:ascii="Times New Roman" w:hAnsi="Times New Roman" w:cs="Times New Roman"/>
          <w:sz w:val="24"/>
          <w:szCs w:val="24"/>
        </w:rPr>
        <w:t>progressively</w:t>
      </w:r>
      <w:r w:rsidRPr="0073313F">
        <w:rPr>
          <w:rFonts w:ascii="Times New Roman" w:hAnsi="Times New Roman" w:cs="Times New Roman"/>
          <w:sz w:val="24"/>
          <w:szCs w:val="24"/>
        </w:rPr>
        <w:t xml:space="preserve"> align with EU standards.</w:t>
      </w:r>
      <w:sdt>
        <w:sdtPr>
          <w:rPr>
            <w:rFonts w:ascii="Times New Roman" w:hAnsi="Times New Roman" w:cs="Times New Roman"/>
            <w:sz w:val="24"/>
            <w:szCs w:val="24"/>
          </w:rPr>
          <w:id w:val="-875612309"/>
          <w:citation/>
        </w:sdtPr>
        <w:sdtContent>
          <w:r w:rsidR="00002CFB" w:rsidRPr="0073313F">
            <w:rPr>
              <w:rFonts w:ascii="Times New Roman" w:hAnsi="Times New Roman" w:cs="Times New Roman"/>
              <w:sz w:val="24"/>
              <w:szCs w:val="24"/>
            </w:rPr>
            <w:fldChar w:fldCharType="begin"/>
          </w:r>
          <w:r w:rsidR="00002CFB" w:rsidRPr="0073313F">
            <w:rPr>
              <w:rFonts w:ascii="Times New Roman" w:hAnsi="Times New Roman" w:cs="Times New Roman"/>
              <w:sz w:val="24"/>
              <w:szCs w:val="24"/>
            </w:rPr>
            <w:instrText xml:space="preserve"> CITATION Eur25 \l 1033 </w:instrText>
          </w:r>
          <w:r w:rsidR="00002CFB" w:rsidRPr="0073313F">
            <w:rPr>
              <w:rFonts w:ascii="Times New Roman" w:hAnsi="Times New Roman" w:cs="Times New Roman"/>
              <w:sz w:val="24"/>
              <w:szCs w:val="24"/>
            </w:rPr>
            <w:fldChar w:fldCharType="separate"/>
          </w:r>
          <w:r w:rsidR="00C06ABD" w:rsidRPr="0073313F">
            <w:rPr>
              <w:rFonts w:ascii="Times New Roman" w:hAnsi="Times New Roman" w:cs="Times New Roman"/>
              <w:noProof/>
              <w:sz w:val="24"/>
              <w:szCs w:val="24"/>
            </w:rPr>
            <w:t xml:space="preserve"> (union, 2025)</w:t>
          </w:r>
          <w:r w:rsidR="00002CFB" w:rsidRPr="0073313F">
            <w:rPr>
              <w:rFonts w:ascii="Times New Roman" w:hAnsi="Times New Roman" w:cs="Times New Roman"/>
              <w:sz w:val="24"/>
              <w:szCs w:val="24"/>
            </w:rPr>
            <w:fldChar w:fldCharType="end"/>
          </w:r>
        </w:sdtContent>
      </w:sdt>
    </w:p>
    <w:p w14:paraId="2AA538AA" w14:textId="77777777" w:rsidR="00976DE1" w:rsidRDefault="00976DE1"/>
    <w:p w14:paraId="106D8206" w14:textId="77777777" w:rsidR="00976DE1" w:rsidRDefault="00976DE1"/>
    <w:p w14:paraId="09420C65" w14:textId="77777777" w:rsidR="00754AA7" w:rsidRDefault="00754AA7"/>
    <w:p w14:paraId="30CA4551" w14:textId="77777777" w:rsidR="00976DE1" w:rsidRDefault="00976DE1"/>
    <w:p w14:paraId="458E8E7D" w14:textId="77777777" w:rsidR="00976DE1" w:rsidRDefault="00976DE1"/>
    <w:p w14:paraId="1CC66BEF" w14:textId="77777777" w:rsidR="00754AA7" w:rsidRDefault="00754AA7">
      <w:pPr>
        <w:rPr>
          <w:b/>
          <w:bCs/>
        </w:rPr>
      </w:pPr>
    </w:p>
    <w:p w14:paraId="3DBFFAC1" w14:textId="77777777" w:rsidR="002F6701" w:rsidRDefault="002F6701" w:rsidP="002F6701">
      <w:pPr>
        <w:jc w:val="both"/>
        <w:rPr>
          <w:b/>
          <w:bCs/>
        </w:rPr>
      </w:pPr>
    </w:p>
    <w:p w14:paraId="6A64D7C0" w14:textId="77777777" w:rsidR="002F6701" w:rsidRDefault="002F6701" w:rsidP="002F6701">
      <w:pPr>
        <w:jc w:val="both"/>
        <w:rPr>
          <w:b/>
          <w:bCs/>
        </w:rPr>
      </w:pPr>
    </w:p>
    <w:p w14:paraId="0DE34C17" w14:textId="77777777" w:rsidR="002F6701" w:rsidRDefault="002F6701" w:rsidP="002F6701">
      <w:pPr>
        <w:jc w:val="both"/>
        <w:rPr>
          <w:b/>
          <w:bCs/>
        </w:rPr>
      </w:pPr>
    </w:p>
    <w:p w14:paraId="3E4C0EDF" w14:textId="77777777" w:rsidR="002F6701" w:rsidRDefault="002F6701" w:rsidP="002F6701">
      <w:pPr>
        <w:jc w:val="both"/>
        <w:rPr>
          <w:b/>
          <w:bCs/>
        </w:rPr>
      </w:pPr>
    </w:p>
    <w:p w14:paraId="063C42B8" w14:textId="6B9A6423" w:rsidR="00DB08F5" w:rsidRDefault="00DB08F5" w:rsidP="002F6701">
      <w:pPr>
        <w:pStyle w:val="Heading1"/>
      </w:pPr>
      <w:bookmarkStart w:id="4" w:name="_Toc214967408"/>
    </w:p>
    <w:p w14:paraId="36A73A6F" w14:textId="77777777" w:rsidR="00DB08F5" w:rsidRPr="00DB08F5" w:rsidRDefault="00DB08F5" w:rsidP="00DB08F5"/>
    <w:p w14:paraId="59EF6C17" w14:textId="7603AE22" w:rsidR="007177F2" w:rsidRPr="00976DE1" w:rsidRDefault="00000000" w:rsidP="002F6701">
      <w:pPr>
        <w:pStyle w:val="Heading1"/>
        <w:rPr>
          <w:b w:val="0"/>
          <w:bCs w:val="0"/>
        </w:rPr>
      </w:pPr>
      <w:bookmarkStart w:id="5" w:name="_Toc215562040"/>
      <w:r w:rsidRPr="00976DE1">
        <w:lastRenderedPageBreak/>
        <w:t>RIGHTS OF INVESTORS</w:t>
      </w:r>
      <w:bookmarkEnd w:id="4"/>
      <w:bookmarkEnd w:id="5"/>
    </w:p>
    <w:p w14:paraId="51128D37" w14:textId="77777777" w:rsidR="007177F2" w:rsidRPr="0073313F" w:rsidRDefault="00000000" w:rsidP="002F6701">
      <w:pPr>
        <w:jc w:val="both"/>
        <w:rPr>
          <w:rFonts w:ascii="Times New Roman" w:hAnsi="Times New Roman" w:cs="Times New Roman"/>
          <w:sz w:val="24"/>
          <w:szCs w:val="24"/>
        </w:rPr>
      </w:pPr>
      <w:r w:rsidRPr="0073313F">
        <w:rPr>
          <w:rFonts w:ascii="Times New Roman" w:hAnsi="Times New Roman" w:cs="Times New Roman"/>
          <w:sz w:val="24"/>
          <w:szCs w:val="24"/>
        </w:rPr>
        <w:t>Investor rights can be categorized into substantive rights (e.g., the right to correct information) and procedural rights (e.g., the right to seek compensation). The most relevant include:</w:t>
      </w:r>
    </w:p>
    <w:p w14:paraId="4FC04F2C" w14:textId="77777777" w:rsidR="007177F2" w:rsidRPr="0073313F" w:rsidRDefault="00000000" w:rsidP="002F6701">
      <w:pPr>
        <w:pStyle w:val="Heading2"/>
        <w:rPr>
          <w:rFonts w:ascii="Times New Roman" w:hAnsi="Times New Roman" w:cs="Times New Roman"/>
          <w:sz w:val="24"/>
          <w:szCs w:val="24"/>
        </w:rPr>
      </w:pPr>
      <w:bookmarkStart w:id="6" w:name="_Toc214967409"/>
      <w:bookmarkStart w:id="7" w:name="_Toc215562041"/>
      <w:r w:rsidRPr="0073313F">
        <w:rPr>
          <w:rFonts w:ascii="Times New Roman" w:hAnsi="Times New Roman" w:cs="Times New Roman"/>
          <w:sz w:val="24"/>
          <w:szCs w:val="24"/>
        </w:rPr>
        <w:t>1. Right to truthful, accurate, and timely information.</w:t>
      </w:r>
      <w:bookmarkEnd w:id="6"/>
      <w:bookmarkEnd w:id="7"/>
    </w:p>
    <w:p w14:paraId="7F076347" w14:textId="14255E21" w:rsidR="005A16AD" w:rsidRPr="0073313F" w:rsidRDefault="005A16AD"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The right to truthful, accurate, and timely information is </w:t>
      </w:r>
      <w:r w:rsidR="00421818" w:rsidRPr="0073313F">
        <w:rPr>
          <w:rFonts w:ascii="Times New Roman" w:hAnsi="Times New Roman" w:cs="Times New Roman"/>
          <w:sz w:val="24"/>
          <w:szCs w:val="24"/>
        </w:rPr>
        <w:t>an</w:t>
      </w:r>
      <w:r w:rsidRPr="0073313F">
        <w:rPr>
          <w:rFonts w:ascii="Times New Roman" w:hAnsi="Times New Roman" w:cs="Times New Roman"/>
          <w:sz w:val="24"/>
          <w:szCs w:val="24"/>
        </w:rPr>
        <w:t xml:space="preserve"> </w:t>
      </w:r>
      <w:r w:rsidR="00421818" w:rsidRPr="0073313F">
        <w:rPr>
          <w:rFonts w:ascii="Times New Roman" w:hAnsi="Times New Roman" w:cs="Times New Roman"/>
          <w:sz w:val="24"/>
          <w:szCs w:val="24"/>
        </w:rPr>
        <w:t>important</w:t>
      </w:r>
      <w:r w:rsidRPr="0073313F">
        <w:rPr>
          <w:rFonts w:ascii="Times New Roman" w:hAnsi="Times New Roman" w:cs="Times New Roman"/>
          <w:sz w:val="24"/>
          <w:szCs w:val="24"/>
        </w:rPr>
        <w:t xml:space="preserve"> principle that protects individuals and the public from </w:t>
      </w:r>
      <w:r w:rsidR="00421818" w:rsidRPr="0073313F">
        <w:rPr>
          <w:rFonts w:ascii="Times New Roman" w:hAnsi="Times New Roman" w:cs="Times New Roman"/>
          <w:sz w:val="24"/>
          <w:szCs w:val="24"/>
        </w:rPr>
        <w:t>trickery</w:t>
      </w:r>
      <w:r w:rsidRPr="0073313F">
        <w:rPr>
          <w:rFonts w:ascii="Times New Roman" w:hAnsi="Times New Roman" w:cs="Times New Roman"/>
          <w:sz w:val="24"/>
          <w:szCs w:val="24"/>
        </w:rPr>
        <w:t xml:space="preserve">, misinformation, and manipulation. It ensures that every person has access to information that reflects reality as it is, not as someone wants it to appear. This right requires that information intended for the public—whether provided by governments, institutions, media, or private actors—must be based </w:t>
      </w:r>
      <w:r w:rsidR="00421818" w:rsidRPr="0073313F">
        <w:rPr>
          <w:rFonts w:ascii="Times New Roman" w:hAnsi="Times New Roman" w:cs="Times New Roman"/>
          <w:sz w:val="24"/>
          <w:szCs w:val="24"/>
        </w:rPr>
        <w:t>on facts</w:t>
      </w:r>
      <w:r w:rsidRPr="0073313F">
        <w:rPr>
          <w:rFonts w:ascii="Times New Roman" w:hAnsi="Times New Roman" w:cs="Times New Roman"/>
          <w:sz w:val="24"/>
          <w:szCs w:val="24"/>
        </w:rPr>
        <w:t xml:space="preserve">, presented without </w:t>
      </w:r>
      <w:r w:rsidR="00421818" w:rsidRPr="0073313F">
        <w:rPr>
          <w:rFonts w:ascii="Times New Roman" w:hAnsi="Times New Roman" w:cs="Times New Roman"/>
          <w:sz w:val="24"/>
          <w:szCs w:val="24"/>
        </w:rPr>
        <w:t>falsification</w:t>
      </w:r>
      <w:r w:rsidRPr="0073313F">
        <w:rPr>
          <w:rFonts w:ascii="Times New Roman" w:hAnsi="Times New Roman" w:cs="Times New Roman"/>
          <w:sz w:val="24"/>
          <w:szCs w:val="24"/>
        </w:rPr>
        <w:t xml:space="preserve">, and delivered at a moment when it is still relevant and capable of guiding informed decision-making. It functions as both a </w:t>
      </w:r>
      <w:r w:rsidR="00421818" w:rsidRPr="0073313F">
        <w:rPr>
          <w:rFonts w:ascii="Times New Roman" w:hAnsi="Times New Roman" w:cs="Times New Roman"/>
          <w:sz w:val="24"/>
          <w:szCs w:val="24"/>
        </w:rPr>
        <w:t>safety measure</w:t>
      </w:r>
      <w:r w:rsidRPr="0073313F">
        <w:rPr>
          <w:rFonts w:ascii="Times New Roman" w:hAnsi="Times New Roman" w:cs="Times New Roman"/>
          <w:sz w:val="24"/>
          <w:szCs w:val="24"/>
        </w:rPr>
        <w:t xml:space="preserve"> and an </w:t>
      </w:r>
      <w:r w:rsidR="00421818" w:rsidRPr="0073313F">
        <w:rPr>
          <w:rFonts w:ascii="Times New Roman" w:hAnsi="Times New Roman" w:cs="Times New Roman"/>
          <w:sz w:val="24"/>
          <w:szCs w:val="24"/>
        </w:rPr>
        <w:t>enabling</w:t>
      </w:r>
      <w:r w:rsidRPr="0073313F">
        <w:rPr>
          <w:rFonts w:ascii="Times New Roman" w:hAnsi="Times New Roman" w:cs="Times New Roman"/>
          <w:sz w:val="24"/>
          <w:szCs w:val="24"/>
        </w:rPr>
        <w:t xml:space="preserve"> tool: people cannot exercise their rights, protect their interests, or participate meaningfully in democratic processes unless the information they rely on is trustworthy and available when needed.</w:t>
      </w:r>
    </w:p>
    <w:p w14:paraId="1FAA1CCF" w14:textId="194AC92D" w:rsidR="007177F2" w:rsidRPr="0073313F" w:rsidRDefault="005A16AD"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This right is especially important in areas such as public health, consumer protection, political participation, and legal processes. When information is </w:t>
      </w:r>
      <w:r w:rsidR="008B6733" w:rsidRPr="0073313F">
        <w:rPr>
          <w:rFonts w:ascii="Times New Roman" w:hAnsi="Times New Roman" w:cs="Times New Roman"/>
          <w:sz w:val="24"/>
          <w:szCs w:val="24"/>
        </w:rPr>
        <w:t>intentionally</w:t>
      </w:r>
      <w:r w:rsidRPr="0073313F">
        <w:rPr>
          <w:rFonts w:ascii="Times New Roman" w:hAnsi="Times New Roman" w:cs="Times New Roman"/>
          <w:sz w:val="24"/>
          <w:szCs w:val="24"/>
        </w:rPr>
        <w:t xml:space="preserve"> hidden, delayed, or falsified, individuals are placed at a disadvantage, and the integrity of public life is </w:t>
      </w:r>
      <w:r w:rsidR="008B6733" w:rsidRPr="0073313F">
        <w:rPr>
          <w:rFonts w:ascii="Times New Roman" w:hAnsi="Times New Roman" w:cs="Times New Roman"/>
          <w:sz w:val="24"/>
          <w:szCs w:val="24"/>
        </w:rPr>
        <w:t>weakened</w:t>
      </w:r>
      <w:r w:rsidRPr="0073313F">
        <w:rPr>
          <w:rFonts w:ascii="Times New Roman" w:hAnsi="Times New Roman" w:cs="Times New Roman"/>
          <w:sz w:val="24"/>
          <w:szCs w:val="24"/>
        </w:rPr>
        <w:t>. Accurate and timely information prevents harm, reduces inequality, and strengthens accountability by ensuring that governments, corporations, and other institutions cannot exploit ignorance or confusion. Ultimately, the right to truthful, accurate, and timely information is not only about receiving correct facts; it is about ensuring transparency, enabling informed choices, and preserving the trust that is essential for a functioning society.</w:t>
      </w:r>
      <w:r w:rsidR="00DB08F5" w:rsidRPr="0073313F">
        <w:rPr>
          <w:rFonts w:ascii="Times New Roman" w:hAnsi="Times New Roman" w:cs="Times New Roman"/>
          <w:sz w:val="24"/>
          <w:szCs w:val="24"/>
        </w:rPr>
        <w:t xml:space="preserve"> </w:t>
      </w:r>
      <w:sdt>
        <w:sdtPr>
          <w:rPr>
            <w:rFonts w:ascii="Times New Roman" w:hAnsi="Times New Roman" w:cs="Times New Roman"/>
            <w:sz w:val="24"/>
            <w:szCs w:val="24"/>
          </w:rPr>
          <w:id w:val="567233296"/>
          <w:citation/>
        </w:sdtPr>
        <w:sdtContent>
          <w:r w:rsidR="00DB08F5" w:rsidRPr="0073313F">
            <w:rPr>
              <w:rFonts w:ascii="Times New Roman" w:hAnsi="Times New Roman" w:cs="Times New Roman"/>
              <w:sz w:val="24"/>
              <w:szCs w:val="24"/>
            </w:rPr>
            <w:fldChar w:fldCharType="begin"/>
          </w:r>
          <w:r w:rsidR="00DB08F5" w:rsidRPr="0073313F">
            <w:rPr>
              <w:rFonts w:ascii="Times New Roman" w:hAnsi="Times New Roman" w:cs="Times New Roman"/>
              <w:sz w:val="24"/>
              <w:szCs w:val="24"/>
            </w:rPr>
            <w:instrText xml:space="preserve"> CITATION ARTICLE19 \l 1033 </w:instrText>
          </w:r>
          <w:r w:rsidR="00DB08F5" w:rsidRPr="0073313F">
            <w:rPr>
              <w:rFonts w:ascii="Times New Roman" w:hAnsi="Times New Roman" w:cs="Times New Roman"/>
              <w:sz w:val="24"/>
              <w:szCs w:val="24"/>
            </w:rPr>
            <w:fldChar w:fldCharType="separate"/>
          </w:r>
          <w:r w:rsidR="00C06ABD" w:rsidRPr="0073313F">
            <w:rPr>
              <w:rFonts w:ascii="Times New Roman" w:hAnsi="Times New Roman" w:cs="Times New Roman"/>
              <w:noProof/>
              <w:sz w:val="24"/>
              <w:szCs w:val="24"/>
            </w:rPr>
            <w:t>(19)</w:t>
          </w:r>
          <w:r w:rsidR="00DB08F5" w:rsidRPr="0073313F">
            <w:rPr>
              <w:rFonts w:ascii="Times New Roman" w:hAnsi="Times New Roman" w:cs="Times New Roman"/>
              <w:sz w:val="24"/>
              <w:szCs w:val="24"/>
            </w:rPr>
            <w:fldChar w:fldCharType="end"/>
          </w:r>
        </w:sdtContent>
      </w:sdt>
    </w:p>
    <w:p w14:paraId="5C1FF229" w14:textId="77777777" w:rsidR="007177F2" w:rsidRPr="0073313F" w:rsidRDefault="00000000" w:rsidP="002F6701">
      <w:pPr>
        <w:pStyle w:val="Heading2"/>
        <w:rPr>
          <w:rFonts w:ascii="Times New Roman" w:hAnsi="Times New Roman" w:cs="Times New Roman"/>
          <w:sz w:val="24"/>
          <w:szCs w:val="24"/>
        </w:rPr>
      </w:pPr>
      <w:bookmarkStart w:id="8" w:name="_Toc214967410"/>
      <w:bookmarkStart w:id="9" w:name="_Toc215562042"/>
      <w:r w:rsidRPr="0073313F">
        <w:rPr>
          <w:rFonts w:ascii="Times New Roman" w:hAnsi="Times New Roman" w:cs="Times New Roman"/>
          <w:sz w:val="24"/>
          <w:szCs w:val="24"/>
        </w:rPr>
        <w:t>2. Right to protection from market manipulation.</w:t>
      </w:r>
      <w:bookmarkEnd w:id="8"/>
      <w:bookmarkEnd w:id="9"/>
    </w:p>
    <w:p w14:paraId="1D3975F6" w14:textId="796262FA" w:rsidR="005A16AD" w:rsidRPr="0073313F" w:rsidRDefault="005A16AD"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The right to protection from market manipulation is a </w:t>
      </w:r>
      <w:r w:rsidR="008B6733" w:rsidRPr="0073313F">
        <w:rPr>
          <w:rFonts w:ascii="Times New Roman" w:hAnsi="Times New Roman" w:cs="Times New Roman"/>
          <w:sz w:val="24"/>
          <w:szCs w:val="24"/>
        </w:rPr>
        <w:t>safety measure</w:t>
      </w:r>
      <w:r w:rsidRPr="0073313F">
        <w:rPr>
          <w:rFonts w:ascii="Times New Roman" w:hAnsi="Times New Roman" w:cs="Times New Roman"/>
          <w:sz w:val="24"/>
          <w:szCs w:val="24"/>
        </w:rPr>
        <w:t xml:space="preserve"> designed to ensure that financial markets operate fairly, transparently, and honestly so that no individual or group can </w:t>
      </w:r>
      <w:r w:rsidR="008B6733" w:rsidRPr="0073313F">
        <w:rPr>
          <w:rFonts w:ascii="Times New Roman" w:hAnsi="Times New Roman" w:cs="Times New Roman"/>
          <w:sz w:val="24"/>
          <w:szCs w:val="24"/>
        </w:rPr>
        <w:t>change</w:t>
      </w:r>
      <w:r w:rsidRPr="0073313F">
        <w:rPr>
          <w:rFonts w:ascii="Times New Roman" w:hAnsi="Times New Roman" w:cs="Times New Roman"/>
          <w:sz w:val="24"/>
          <w:szCs w:val="24"/>
        </w:rPr>
        <w:t xml:space="preserve"> prices or trading conditions for their own advantage. Market manipulation occurs when someone intentionally interferes with the natural forces of supply and demand—often through deception, artificial trading activity, or false information—in order to mislead other investors. This kind of behavior creates an unfair environment where ordinary participants make decisions based on </w:t>
      </w:r>
      <w:r w:rsidR="008B6733" w:rsidRPr="0073313F">
        <w:rPr>
          <w:rFonts w:ascii="Times New Roman" w:hAnsi="Times New Roman" w:cs="Times New Roman"/>
          <w:sz w:val="24"/>
          <w:szCs w:val="24"/>
        </w:rPr>
        <w:t>inaccurate</w:t>
      </w:r>
      <w:r w:rsidRPr="0073313F">
        <w:rPr>
          <w:rFonts w:ascii="Times New Roman" w:hAnsi="Times New Roman" w:cs="Times New Roman"/>
          <w:sz w:val="24"/>
          <w:szCs w:val="24"/>
        </w:rPr>
        <w:t xml:space="preserve"> signals, while manipulators profit at their expense.</w:t>
      </w:r>
    </w:p>
    <w:p w14:paraId="406F2D91" w14:textId="77777777" w:rsidR="005A16AD" w:rsidRPr="0073313F" w:rsidRDefault="005A16AD" w:rsidP="002F6701">
      <w:pPr>
        <w:jc w:val="both"/>
        <w:rPr>
          <w:rFonts w:ascii="Times New Roman" w:hAnsi="Times New Roman" w:cs="Times New Roman"/>
          <w:sz w:val="24"/>
          <w:szCs w:val="24"/>
        </w:rPr>
      </w:pPr>
    </w:p>
    <w:p w14:paraId="0433ED4B" w14:textId="3EF19253" w:rsidR="005A16AD" w:rsidRPr="0073313F" w:rsidRDefault="005A16AD"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Protection from market manipulation means that investors have a legal right to expect that markets reflect real economic value and genuine investor </w:t>
      </w:r>
      <w:r w:rsidR="008B6733" w:rsidRPr="0073313F">
        <w:rPr>
          <w:rFonts w:ascii="Times New Roman" w:hAnsi="Times New Roman" w:cs="Times New Roman"/>
          <w:sz w:val="24"/>
          <w:szCs w:val="24"/>
        </w:rPr>
        <w:t>opinion</w:t>
      </w:r>
      <w:r w:rsidRPr="0073313F">
        <w:rPr>
          <w:rFonts w:ascii="Times New Roman" w:hAnsi="Times New Roman" w:cs="Times New Roman"/>
          <w:sz w:val="24"/>
          <w:szCs w:val="24"/>
        </w:rPr>
        <w:t xml:space="preserve">, not </w:t>
      </w:r>
      <w:r w:rsidR="008B6733" w:rsidRPr="0073313F">
        <w:rPr>
          <w:rFonts w:ascii="Times New Roman" w:hAnsi="Times New Roman" w:cs="Times New Roman"/>
          <w:sz w:val="24"/>
          <w:szCs w:val="24"/>
        </w:rPr>
        <w:t>made-up</w:t>
      </w:r>
      <w:r w:rsidRPr="0073313F">
        <w:rPr>
          <w:rFonts w:ascii="Times New Roman" w:hAnsi="Times New Roman" w:cs="Times New Roman"/>
          <w:sz w:val="24"/>
          <w:szCs w:val="24"/>
        </w:rPr>
        <w:t xml:space="preserve"> activity or </w:t>
      </w:r>
      <w:r w:rsidR="008B6733" w:rsidRPr="0073313F">
        <w:rPr>
          <w:rFonts w:ascii="Times New Roman" w:hAnsi="Times New Roman" w:cs="Times New Roman"/>
          <w:sz w:val="24"/>
          <w:szCs w:val="24"/>
        </w:rPr>
        <w:t>fake</w:t>
      </w:r>
      <w:r w:rsidRPr="0073313F">
        <w:rPr>
          <w:rFonts w:ascii="Times New Roman" w:hAnsi="Times New Roman" w:cs="Times New Roman"/>
          <w:sz w:val="24"/>
          <w:szCs w:val="24"/>
        </w:rPr>
        <w:t xml:space="preserve"> signals. Regulators and laws therefore </w:t>
      </w:r>
      <w:r w:rsidR="00795C87" w:rsidRPr="0073313F">
        <w:rPr>
          <w:rFonts w:ascii="Times New Roman" w:hAnsi="Times New Roman" w:cs="Times New Roman"/>
          <w:sz w:val="24"/>
          <w:szCs w:val="24"/>
        </w:rPr>
        <w:t>forbid</w:t>
      </w:r>
      <w:r w:rsidRPr="0073313F">
        <w:rPr>
          <w:rFonts w:ascii="Times New Roman" w:hAnsi="Times New Roman" w:cs="Times New Roman"/>
          <w:sz w:val="24"/>
          <w:szCs w:val="24"/>
        </w:rPr>
        <w:t xml:space="preserve"> practices such as spreading </w:t>
      </w:r>
      <w:r w:rsidRPr="0073313F">
        <w:rPr>
          <w:rFonts w:ascii="Times New Roman" w:hAnsi="Times New Roman" w:cs="Times New Roman"/>
          <w:sz w:val="24"/>
          <w:szCs w:val="24"/>
        </w:rPr>
        <w:lastRenderedPageBreak/>
        <w:t>false rumors to drive prices up or down, creating fake trading volume to make an asset seem more popular than it is, coordinating trades to set artificial prices, or withholding crucial information that influences market behavior. By preventing these actions, the law seeks to maintain trust in the financial system, promote equal opportunity among investors, and reduce the risk of large-scale financial harm.</w:t>
      </w:r>
    </w:p>
    <w:p w14:paraId="57231303" w14:textId="77777777" w:rsidR="005A16AD" w:rsidRPr="0073313F" w:rsidRDefault="005A16AD" w:rsidP="002F6701">
      <w:pPr>
        <w:jc w:val="both"/>
        <w:rPr>
          <w:rFonts w:ascii="Times New Roman" w:hAnsi="Times New Roman" w:cs="Times New Roman"/>
          <w:sz w:val="24"/>
          <w:szCs w:val="24"/>
        </w:rPr>
      </w:pPr>
    </w:p>
    <w:p w14:paraId="5CA63743" w14:textId="77777777" w:rsidR="00795C87" w:rsidRPr="0073313F" w:rsidRDefault="00795C87" w:rsidP="002F6701">
      <w:pPr>
        <w:jc w:val="both"/>
        <w:rPr>
          <w:rFonts w:ascii="Times New Roman" w:hAnsi="Times New Roman" w:cs="Times New Roman"/>
          <w:sz w:val="24"/>
          <w:szCs w:val="24"/>
        </w:rPr>
      </w:pPr>
      <w:r w:rsidRPr="0073313F">
        <w:rPr>
          <w:rFonts w:ascii="Times New Roman" w:hAnsi="Times New Roman" w:cs="Times New Roman"/>
          <w:sz w:val="24"/>
          <w:szCs w:val="24"/>
        </w:rPr>
        <w:t>Eventually</w:t>
      </w:r>
      <w:r w:rsidR="005A16AD" w:rsidRPr="0073313F">
        <w:rPr>
          <w:rFonts w:ascii="Times New Roman" w:hAnsi="Times New Roman" w:cs="Times New Roman"/>
          <w:sz w:val="24"/>
          <w:szCs w:val="24"/>
        </w:rPr>
        <w:t xml:space="preserve">, this right ensures that every participant—large or small—operates on a </w:t>
      </w:r>
      <w:r w:rsidRPr="0073313F">
        <w:rPr>
          <w:rFonts w:ascii="Times New Roman" w:hAnsi="Times New Roman" w:cs="Times New Roman"/>
          <w:sz w:val="24"/>
          <w:szCs w:val="24"/>
        </w:rPr>
        <w:t>fair play</w:t>
      </w:r>
      <w:r w:rsidR="005A16AD" w:rsidRPr="0073313F">
        <w:rPr>
          <w:rFonts w:ascii="Times New Roman" w:hAnsi="Times New Roman" w:cs="Times New Roman"/>
          <w:sz w:val="24"/>
          <w:szCs w:val="24"/>
        </w:rPr>
        <w:t xml:space="preserve"> </w:t>
      </w:r>
      <w:r w:rsidRPr="0073313F">
        <w:rPr>
          <w:rFonts w:ascii="Times New Roman" w:hAnsi="Times New Roman" w:cs="Times New Roman"/>
          <w:sz w:val="24"/>
          <w:szCs w:val="24"/>
        </w:rPr>
        <w:t>system</w:t>
      </w:r>
      <w:r w:rsidR="005A16AD" w:rsidRPr="0073313F">
        <w:rPr>
          <w:rFonts w:ascii="Times New Roman" w:hAnsi="Times New Roman" w:cs="Times New Roman"/>
          <w:sz w:val="24"/>
          <w:szCs w:val="24"/>
        </w:rPr>
        <w:t xml:space="preserve">, and that markets remain stable, efficient, and </w:t>
      </w:r>
      <w:r w:rsidRPr="0073313F">
        <w:rPr>
          <w:rFonts w:ascii="Times New Roman" w:hAnsi="Times New Roman" w:cs="Times New Roman"/>
          <w:sz w:val="24"/>
          <w:szCs w:val="24"/>
        </w:rPr>
        <w:t>based</w:t>
      </w:r>
      <w:r w:rsidR="005A16AD" w:rsidRPr="0073313F">
        <w:rPr>
          <w:rFonts w:ascii="Times New Roman" w:hAnsi="Times New Roman" w:cs="Times New Roman"/>
          <w:sz w:val="24"/>
          <w:szCs w:val="24"/>
        </w:rPr>
        <w:t xml:space="preserve"> in truth rather than manipulation or </w:t>
      </w:r>
      <w:r w:rsidRPr="0073313F">
        <w:rPr>
          <w:rFonts w:ascii="Times New Roman" w:hAnsi="Times New Roman" w:cs="Times New Roman"/>
          <w:sz w:val="24"/>
          <w:szCs w:val="24"/>
        </w:rPr>
        <w:t>trickery</w:t>
      </w:r>
      <w:r w:rsidR="005A16AD" w:rsidRPr="0073313F">
        <w:rPr>
          <w:rFonts w:ascii="Times New Roman" w:hAnsi="Times New Roman" w:cs="Times New Roman"/>
          <w:sz w:val="24"/>
          <w:szCs w:val="24"/>
        </w:rPr>
        <w:t xml:space="preserve">. </w:t>
      </w:r>
    </w:p>
    <w:p w14:paraId="3E484607" w14:textId="18334F7B" w:rsidR="007177F2" w:rsidRPr="0073313F" w:rsidRDefault="00795C87" w:rsidP="00795C87">
      <w:pPr>
        <w:pStyle w:val="Heading1"/>
        <w:rPr>
          <w:rFonts w:ascii="Times New Roman" w:hAnsi="Times New Roman" w:cs="Times New Roman"/>
          <w:sz w:val="24"/>
          <w:szCs w:val="24"/>
        </w:rPr>
      </w:pPr>
      <w:bookmarkStart w:id="10" w:name="_Toc215562043"/>
      <w:r w:rsidRPr="0073313F">
        <w:rPr>
          <w:rFonts w:ascii="Times New Roman" w:hAnsi="Times New Roman" w:cs="Times New Roman"/>
          <w:sz w:val="24"/>
          <w:szCs w:val="24"/>
        </w:rPr>
        <w:t xml:space="preserve">3. </w:t>
      </w:r>
      <w:r w:rsidR="005A16AD" w:rsidRPr="0073313F">
        <w:rPr>
          <w:rFonts w:ascii="Times New Roman" w:hAnsi="Times New Roman" w:cs="Times New Roman"/>
          <w:sz w:val="24"/>
          <w:szCs w:val="24"/>
        </w:rPr>
        <w:t>Right to protection from insider trading.</w:t>
      </w:r>
      <w:bookmarkEnd w:id="10"/>
    </w:p>
    <w:p w14:paraId="75B33F79" w14:textId="5110D985" w:rsidR="007177F2" w:rsidRPr="0073313F" w:rsidRDefault="00000000"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Insider trading </w:t>
      </w:r>
      <w:r w:rsidR="00795C87" w:rsidRPr="0073313F">
        <w:rPr>
          <w:rFonts w:ascii="Times New Roman" w:hAnsi="Times New Roman" w:cs="Times New Roman"/>
          <w:sz w:val="24"/>
          <w:szCs w:val="24"/>
        </w:rPr>
        <w:t>happens</w:t>
      </w:r>
      <w:r w:rsidRPr="0073313F">
        <w:rPr>
          <w:rFonts w:ascii="Times New Roman" w:hAnsi="Times New Roman" w:cs="Times New Roman"/>
          <w:sz w:val="24"/>
          <w:szCs w:val="24"/>
        </w:rPr>
        <w:t xml:space="preserve"> when a person possesses </w:t>
      </w:r>
      <w:r w:rsidR="00795C87" w:rsidRPr="0073313F">
        <w:rPr>
          <w:rFonts w:ascii="Times New Roman" w:hAnsi="Times New Roman" w:cs="Times New Roman"/>
          <w:sz w:val="24"/>
          <w:szCs w:val="24"/>
        </w:rPr>
        <w:t>information about prices not public</w:t>
      </w:r>
      <w:r w:rsidRPr="0073313F">
        <w:rPr>
          <w:rFonts w:ascii="Times New Roman" w:hAnsi="Times New Roman" w:cs="Times New Roman"/>
          <w:sz w:val="24"/>
          <w:szCs w:val="24"/>
        </w:rPr>
        <w:t xml:space="preserve"> </w:t>
      </w:r>
      <w:r w:rsidR="00795C87" w:rsidRPr="0073313F">
        <w:rPr>
          <w:rFonts w:ascii="Times New Roman" w:hAnsi="Times New Roman" w:cs="Times New Roman"/>
          <w:sz w:val="24"/>
          <w:szCs w:val="24"/>
        </w:rPr>
        <w:t>and he attempts</w:t>
      </w:r>
      <w:r w:rsidRPr="0073313F">
        <w:rPr>
          <w:rFonts w:ascii="Times New Roman" w:hAnsi="Times New Roman" w:cs="Times New Roman"/>
          <w:sz w:val="24"/>
          <w:szCs w:val="24"/>
        </w:rPr>
        <w:t xml:space="preserve"> to trade securities on that basis. Directors, managers, employees, and persons with </w:t>
      </w:r>
      <w:r w:rsidR="00795C87" w:rsidRPr="0073313F">
        <w:rPr>
          <w:rFonts w:ascii="Times New Roman" w:hAnsi="Times New Roman" w:cs="Times New Roman"/>
          <w:sz w:val="24"/>
          <w:szCs w:val="24"/>
        </w:rPr>
        <w:t>advantaged</w:t>
      </w:r>
      <w:r w:rsidRPr="0073313F">
        <w:rPr>
          <w:rFonts w:ascii="Times New Roman" w:hAnsi="Times New Roman" w:cs="Times New Roman"/>
          <w:sz w:val="24"/>
          <w:szCs w:val="24"/>
        </w:rPr>
        <w:t xml:space="preserve"> access must disclose their personal transactions.</w:t>
      </w:r>
      <w:sdt>
        <w:sdtPr>
          <w:rPr>
            <w:rFonts w:ascii="Times New Roman" w:hAnsi="Times New Roman" w:cs="Times New Roman"/>
            <w:sz w:val="24"/>
            <w:szCs w:val="24"/>
          </w:rPr>
          <w:id w:val="964540298"/>
          <w:citation/>
        </w:sdtPr>
        <w:sdtContent>
          <w:r w:rsidR="00DB08F5" w:rsidRPr="0073313F">
            <w:rPr>
              <w:rFonts w:ascii="Times New Roman" w:hAnsi="Times New Roman" w:cs="Times New Roman"/>
              <w:sz w:val="24"/>
              <w:szCs w:val="24"/>
            </w:rPr>
            <w:fldChar w:fldCharType="begin"/>
          </w:r>
          <w:r w:rsidR="00DB08F5" w:rsidRPr="0073313F">
            <w:rPr>
              <w:rFonts w:ascii="Times New Roman" w:hAnsi="Times New Roman" w:cs="Times New Roman"/>
              <w:sz w:val="24"/>
              <w:szCs w:val="24"/>
            </w:rPr>
            <w:instrText xml:space="preserve"> CITATION Eur1 \l 1033 </w:instrText>
          </w:r>
          <w:r w:rsidR="00DB08F5" w:rsidRPr="0073313F">
            <w:rPr>
              <w:rFonts w:ascii="Times New Roman" w:hAnsi="Times New Roman" w:cs="Times New Roman"/>
              <w:sz w:val="24"/>
              <w:szCs w:val="24"/>
            </w:rPr>
            <w:fldChar w:fldCharType="separate"/>
          </w:r>
          <w:r w:rsidR="00C06ABD" w:rsidRPr="0073313F">
            <w:rPr>
              <w:rFonts w:ascii="Times New Roman" w:hAnsi="Times New Roman" w:cs="Times New Roman"/>
              <w:noProof/>
              <w:sz w:val="24"/>
              <w:szCs w:val="24"/>
            </w:rPr>
            <w:t xml:space="preserve"> (Union E. , European Union — Market Abuse Regulation (MAR), Regulation (EU) No 596/2014.)</w:t>
          </w:r>
          <w:r w:rsidR="00DB08F5" w:rsidRPr="0073313F">
            <w:rPr>
              <w:rFonts w:ascii="Times New Roman" w:hAnsi="Times New Roman" w:cs="Times New Roman"/>
              <w:sz w:val="24"/>
              <w:szCs w:val="24"/>
            </w:rPr>
            <w:fldChar w:fldCharType="end"/>
          </w:r>
        </w:sdtContent>
      </w:sdt>
    </w:p>
    <w:p w14:paraId="7897095A" w14:textId="68046C50" w:rsidR="007177F2" w:rsidRPr="0073313F" w:rsidRDefault="00795C87" w:rsidP="00002CFB">
      <w:pPr>
        <w:pStyle w:val="Heading1"/>
        <w:rPr>
          <w:rFonts w:ascii="Times New Roman" w:hAnsi="Times New Roman" w:cs="Times New Roman"/>
          <w:sz w:val="24"/>
          <w:szCs w:val="24"/>
        </w:rPr>
      </w:pPr>
      <w:bookmarkStart w:id="11" w:name="_Toc214967411"/>
      <w:bookmarkStart w:id="12" w:name="_Toc215562044"/>
      <w:r w:rsidRPr="0073313F">
        <w:rPr>
          <w:rFonts w:ascii="Times New Roman" w:hAnsi="Times New Roman" w:cs="Times New Roman"/>
          <w:sz w:val="24"/>
          <w:szCs w:val="24"/>
        </w:rPr>
        <w:t>4</w:t>
      </w:r>
      <w:r w:rsidR="00002CFB" w:rsidRPr="0073313F">
        <w:rPr>
          <w:rFonts w:ascii="Times New Roman" w:hAnsi="Times New Roman" w:cs="Times New Roman"/>
          <w:sz w:val="24"/>
          <w:szCs w:val="24"/>
        </w:rPr>
        <w:t>. Right to fair treatment and non‑discrimination.</w:t>
      </w:r>
      <w:bookmarkEnd w:id="11"/>
      <w:bookmarkEnd w:id="12"/>
    </w:p>
    <w:p w14:paraId="2C326213" w14:textId="2AC276FD" w:rsidR="005A16AD" w:rsidRPr="0073313F" w:rsidRDefault="005A16AD" w:rsidP="002F6701">
      <w:pPr>
        <w:jc w:val="both"/>
        <w:rPr>
          <w:rFonts w:ascii="Times New Roman" w:hAnsi="Times New Roman" w:cs="Times New Roman"/>
          <w:sz w:val="24"/>
          <w:szCs w:val="24"/>
        </w:rPr>
      </w:pPr>
      <w:r w:rsidRPr="0073313F">
        <w:rPr>
          <w:rFonts w:ascii="Times New Roman" w:hAnsi="Times New Roman" w:cs="Times New Roman"/>
          <w:sz w:val="24"/>
          <w:szCs w:val="24"/>
        </w:rPr>
        <w:t>The right to fair treatment and non-discrimination is a</w:t>
      </w:r>
      <w:r w:rsidR="00795C87" w:rsidRPr="0073313F">
        <w:rPr>
          <w:rFonts w:ascii="Times New Roman" w:hAnsi="Times New Roman" w:cs="Times New Roman"/>
          <w:sz w:val="24"/>
          <w:szCs w:val="24"/>
        </w:rPr>
        <w:t xml:space="preserve">n important </w:t>
      </w:r>
      <w:r w:rsidRPr="0073313F">
        <w:rPr>
          <w:rFonts w:ascii="Times New Roman" w:hAnsi="Times New Roman" w:cs="Times New Roman"/>
          <w:sz w:val="24"/>
          <w:szCs w:val="24"/>
        </w:rPr>
        <w:t xml:space="preserve">principle that guarantees every individual is treated with equality, dignity, and respect, regardless of their personal characteristics or background. It means that no person can be disadvantaged, excluded, or given </w:t>
      </w:r>
      <w:r w:rsidR="00795C87" w:rsidRPr="0073313F">
        <w:rPr>
          <w:rFonts w:ascii="Times New Roman" w:hAnsi="Times New Roman" w:cs="Times New Roman"/>
          <w:sz w:val="24"/>
          <w:szCs w:val="24"/>
        </w:rPr>
        <w:t xml:space="preserve">belittled </w:t>
      </w:r>
      <w:r w:rsidRPr="0073313F">
        <w:rPr>
          <w:rFonts w:ascii="Times New Roman" w:hAnsi="Times New Roman" w:cs="Times New Roman"/>
          <w:sz w:val="24"/>
          <w:szCs w:val="24"/>
        </w:rPr>
        <w:t xml:space="preserve">because of factors such as race, ethnicity, gender, religion, nationality, disability, age, sexual orientation, social status, or any other characteristic that has no legitimate relation to the situation at hand. This right ensures that decisions affecting individuals—whether in employment, education, access to services, justice, or economic participation—are made based on objective and lawful criteria rather than prejudice, stereotypes, or </w:t>
      </w:r>
      <w:r w:rsidR="00795C87" w:rsidRPr="0073313F">
        <w:rPr>
          <w:rFonts w:ascii="Times New Roman" w:hAnsi="Times New Roman" w:cs="Times New Roman"/>
          <w:sz w:val="24"/>
          <w:szCs w:val="24"/>
        </w:rPr>
        <w:t>random</w:t>
      </w:r>
      <w:r w:rsidRPr="0073313F">
        <w:rPr>
          <w:rFonts w:ascii="Times New Roman" w:hAnsi="Times New Roman" w:cs="Times New Roman"/>
          <w:sz w:val="24"/>
          <w:szCs w:val="24"/>
        </w:rPr>
        <w:t xml:space="preserve"> </w:t>
      </w:r>
      <w:r w:rsidR="00795C87" w:rsidRPr="0073313F">
        <w:rPr>
          <w:rFonts w:ascii="Times New Roman" w:hAnsi="Times New Roman" w:cs="Times New Roman"/>
          <w:sz w:val="24"/>
          <w:szCs w:val="24"/>
        </w:rPr>
        <w:t>differences</w:t>
      </w:r>
      <w:r w:rsidRPr="0073313F">
        <w:rPr>
          <w:rFonts w:ascii="Times New Roman" w:hAnsi="Times New Roman" w:cs="Times New Roman"/>
          <w:sz w:val="24"/>
          <w:szCs w:val="24"/>
        </w:rPr>
        <w:t>.</w:t>
      </w:r>
    </w:p>
    <w:p w14:paraId="23E93A29" w14:textId="77777777" w:rsidR="005A16AD" w:rsidRPr="0073313F" w:rsidRDefault="005A16AD" w:rsidP="002F6701">
      <w:pPr>
        <w:jc w:val="both"/>
        <w:rPr>
          <w:rFonts w:ascii="Times New Roman" w:hAnsi="Times New Roman" w:cs="Times New Roman"/>
          <w:sz w:val="24"/>
          <w:szCs w:val="24"/>
        </w:rPr>
      </w:pPr>
    </w:p>
    <w:p w14:paraId="445C7906" w14:textId="4CC2A5FB" w:rsidR="005A16AD" w:rsidRPr="0073313F" w:rsidRDefault="005A16AD"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Fair treatment also means that everyone must have equal opportunities and protection under the law. Institutions and authorities are required to act transparently, consistently, and impartially, ensuring that similar cases are treated alike and that differences are justified by real and legitimate reasons. Non-discrimination protects people from being unfairly targeted or disadvantaged in </w:t>
      </w:r>
      <w:r w:rsidR="00795C87" w:rsidRPr="0073313F">
        <w:rPr>
          <w:rFonts w:ascii="Times New Roman" w:hAnsi="Times New Roman" w:cs="Times New Roman"/>
          <w:sz w:val="24"/>
          <w:szCs w:val="24"/>
        </w:rPr>
        <w:t>indirect</w:t>
      </w:r>
      <w:r w:rsidRPr="0073313F">
        <w:rPr>
          <w:rFonts w:ascii="Times New Roman" w:hAnsi="Times New Roman" w:cs="Times New Roman"/>
          <w:sz w:val="24"/>
          <w:szCs w:val="24"/>
        </w:rPr>
        <w:t xml:space="preserve"> ways as well, such as through unequal rules, biased procedures, or systemic barriers. In practice, this right strengthens social trust, promotes justice, and supports a society in which every person can participate, knowing they will be evaluated and treated based on merit and fairness rather than bias or </w:t>
      </w:r>
      <w:r w:rsidR="0077410E" w:rsidRPr="0073313F">
        <w:rPr>
          <w:rFonts w:ascii="Times New Roman" w:hAnsi="Times New Roman" w:cs="Times New Roman"/>
          <w:sz w:val="24"/>
          <w:szCs w:val="24"/>
        </w:rPr>
        <w:t>discrimination</w:t>
      </w:r>
      <w:r w:rsidRPr="0073313F">
        <w:rPr>
          <w:rFonts w:ascii="Times New Roman" w:hAnsi="Times New Roman" w:cs="Times New Roman"/>
          <w:sz w:val="24"/>
          <w:szCs w:val="24"/>
        </w:rPr>
        <w:t>.</w:t>
      </w:r>
    </w:p>
    <w:p w14:paraId="2855878D" w14:textId="77777777" w:rsidR="005A16AD" w:rsidRPr="0073313F" w:rsidRDefault="005A16AD" w:rsidP="002F6701">
      <w:pPr>
        <w:jc w:val="both"/>
        <w:rPr>
          <w:rFonts w:ascii="Times New Roman" w:hAnsi="Times New Roman" w:cs="Times New Roman"/>
          <w:sz w:val="24"/>
          <w:szCs w:val="24"/>
        </w:rPr>
      </w:pPr>
    </w:p>
    <w:p w14:paraId="05961DE0" w14:textId="77777777" w:rsidR="005A16AD" w:rsidRPr="0073313F" w:rsidRDefault="005A16AD" w:rsidP="002F6701">
      <w:pPr>
        <w:jc w:val="both"/>
        <w:rPr>
          <w:rFonts w:ascii="Times New Roman" w:hAnsi="Times New Roman" w:cs="Times New Roman"/>
          <w:sz w:val="24"/>
          <w:szCs w:val="24"/>
        </w:rPr>
      </w:pPr>
    </w:p>
    <w:p w14:paraId="4937E8E3" w14:textId="29DFAF0B" w:rsidR="007177F2" w:rsidRPr="0073313F" w:rsidRDefault="00795C87" w:rsidP="00002CFB">
      <w:pPr>
        <w:pStyle w:val="Heading1"/>
        <w:rPr>
          <w:rFonts w:ascii="Times New Roman" w:hAnsi="Times New Roman" w:cs="Times New Roman"/>
          <w:sz w:val="24"/>
          <w:szCs w:val="24"/>
        </w:rPr>
      </w:pPr>
      <w:bookmarkStart w:id="13" w:name="_Toc214967412"/>
      <w:bookmarkStart w:id="14" w:name="_Toc215562045"/>
      <w:r w:rsidRPr="0073313F">
        <w:rPr>
          <w:rFonts w:ascii="Times New Roman" w:hAnsi="Times New Roman" w:cs="Times New Roman"/>
          <w:sz w:val="24"/>
          <w:szCs w:val="24"/>
        </w:rPr>
        <w:t>5</w:t>
      </w:r>
      <w:r w:rsidR="00002CFB" w:rsidRPr="0073313F">
        <w:rPr>
          <w:rFonts w:ascii="Times New Roman" w:hAnsi="Times New Roman" w:cs="Times New Roman"/>
          <w:sz w:val="24"/>
          <w:szCs w:val="24"/>
        </w:rPr>
        <w:t>. Right to understand risks and costs.</w:t>
      </w:r>
      <w:bookmarkEnd w:id="13"/>
      <w:bookmarkEnd w:id="14"/>
    </w:p>
    <w:p w14:paraId="3FC0A091" w14:textId="4E20C89D" w:rsidR="005A16AD" w:rsidRPr="0073313F" w:rsidRDefault="005A16AD"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The right to understand risks and costs ensures that every individual—especially consumers and investors—receives clear, honest, information about the possible dangers, disadvantages, and financial obligations involved in any product, service, or investment before they decide to participate. This right protects people from being misled by </w:t>
      </w:r>
      <w:r w:rsidR="0077410E" w:rsidRPr="0073313F">
        <w:rPr>
          <w:rFonts w:ascii="Times New Roman" w:hAnsi="Times New Roman" w:cs="Times New Roman"/>
          <w:sz w:val="24"/>
          <w:szCs w:val="24"/>
        </w:rPr>
        <w:t>false</w:t>
      </w:r>
      <w:r w:rsidRPr="0073313F">
        <w:rPr>
          <w:rFonts w:ascii="Times New Roman" w:hAnsi="Times New Roman" w:cs="Times New Roman"/>
          <w:sz w:val="24"/>
          <w:szCs w:val="24"/>
        </w:rPr>
        <w:t xml:space="preserve"> promises, hidden fees, or </w:t>
      </w:r>
      <w:r w:rsidR="0077410E" w:rsidRPr="0073313F">
        <w:rPr>
          <w:rFonts w:ascii="Times New Roman" w:hAnsi="Times New Roman" w:cs="Times New Roman"/>
          <w:sz w:val="24"/>
          <w:szCs w:val="24"/>
        </w:rPr>
        <w:t>complicated</w:t>
      </w:r>
      <w:r w:rsidRPr="0073313F">
        <w:rPr>
          <w:rFonts w:ascii="Times New Roman" w:hAnsi="Times New Roman" w:cs="Times New Roman"/>
          <w:sz w:val="24"/>
          <w:szCs w:val="24"/>
        </w:rPr>
        <w:t xml:space="preserve"> terms that are intentionally difficult to understand. It requires companies, institutions, and financial actors to explain not only the potential benefits of something, but also the realistic downsides,</w:t>
      </w:r>
      <w:r w:rsidR="0077410E" w:rsidRPr="0073313F">
        <w:rPr>
          <w:rFonts w:ascii="Times New Roman" w:hAnsi="Times New Roman" w:cs="Times New Roman"/>
          <w:sz w:val="24"/>
          <w:szCs w:val="24"/>
        </w:rPr>
        <w:t xml:space="preserve"> unknowns</w:t>
      </w:r>
      <w:r w:rsidRPr="0073313F">
        <w:rPr>
          <w:rFonts w:ascii="Times New Roman" w:hAnsi="Times New Roman" w:cs="Times New Roman"/>
          <w:sz w:val="24"/>
          <w:szCs w:val="24"/>
        </w:rPr>
        <w:t xml:space="preserve"> and total expenses a person might face.</w:t>
      </w:r>
    </w:p>
    <w:p w14:paraId="5BDCB3D7" w14:textId="77777777" w:rsidR="005A16AD" w:rsidRPr="0073313F" w:rsidRDefault="005A16AD" w:rsidP="002F6701">
      <w:pPr>
        <w:jc w:val="both"/>
        <w:rPr>
          <w:rFonts w:ascii="Times New Roman" w:hAnsi="Times New Roman" w:cs="Times New Roman"/>
          <w:sz w:val="24"/>
          <w:szCs w:val="24"/>
        </w:rPr>
      </w:pPr>
    </w:p>
    <w:p w14:paraId="00EE3285" w14:textId="4AE6A5A2" w:rsidR="007177F2" w:rsidRPr="0073313F" w:rsidRDefault="005A16AD"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At its </w:t>
      </w:r>
      <w:r w:rsidR="0077410E" w:rsidRPr="0073313F">
        <w:rPr>
          <w:rFonts w:ascii="Times New Roman" w:hAnsi="Times New Roman" w:cs="Times New Roman"/>
          <w:sz w:val="24"/>
          <w:szCs w:val="24"/>
        </w:rPr>
        <w:t>base</w:t>
      </w:r>
      <w:r w:rsidRPr="0073313F">
        <w:rPr>
          <w:rFonts w:ascii="Times New Roman" w:hAnsi="Times New Roman" w:cs="Times New Roman"/>
          <w:sz w:val="24"/>
          <w:szCs w:val="24"/>
        </w:rPr>
        <w:t>, this right empowers individuals to make informe</w:t>
      </w:r>
      <w:r w:rsidR="0077410E" w:rsidRPr="0073313F">
        <w:rPr>
          <w:rFonts w:ascii="Times New Roman" w:hAnsi="Times New Roman" w:cs="Times New Roman"/>
          <w:sz w:val="24"/>
          <w:szCs w:val="24"/>
        </w:rPr>
        <w:t>d</w:t>
      </w:r>
      <w:r w:rsidRPr="0073313F">
        <w:rPr>
          <w:rFonts w:ascii="Times New Roman" w:hAnsi="Times New Roman" w:cs="Times New Roman"/>
          <w:sz w:val="24"/>
          <w:szCs w:val="24"/>
        </w:rPr>
        <w:t xml:space="preserve"> choices based on full knowledge rather than confusion or manipulation. It means risks cannot be minimized or </w:t>
      </w:r>
      <w:r w:rsidR="0077410E" w:rsidRPr="0073313F">
        <w:rPr>
          <w:rFonts w:ascii="Times New Roman" w:hAnsi="Times New Roman" w:cs="Times New Roman"/>
          <w:sz w:val="24"/>
          <w:szCs w:val="24"/>
        </w:rPr>
        <w:t>hidden</w:t>
      </w:r>
      <w:r w:rsidRPr="0073313F">
        <w:rPr>
          <w:rFonts w:ascii="Times New Roman" w:hAnsi="Times New Roman" w:cs="Times New Roman"/>
          <w:sz w:val="24"/>
          <w:szCs w:val="24"/>
        </w:rPr>
        <w:t xml:space="preserve">, and costs cannot be </w:t>
      </w:r>
      <w:r w:rsidR="0077410E" w:rsidRPr="0073313F">
        <w:rPr>
          <w:rFonts w:ascii="Times New Roman" w:hAnsi="Times New Roman" w:cs="Times New Roman"/>
          <w:sz w:val="24"/>
          <w:szCs w:val="24"/>
        </w:rPr>
        <w:t xml:space="preserve">hidden </w:t>
      </w:r>
      <w:r w:rsidRPr="0073313F">
        <w:rPr>
          <w:rFonts w:ascii="Times New Roman" w:hAnsi="Times New Roman" w:cs="Times New Roman"/>
          <w:sz w:val="24"/>
          <w:szCs w:val="24"/>
        </w:rPr>
        <w:t xml:space="preserve">or disguised behind technical language. Whether someone is signing a contract, taking a loan, buying a financial product, or entering a long-term commitment, they must be given information in a clear and accessible way that allows them to </w:t>
      </w:r>
      <w:r w:rsidR="0077410E" w:rsidRPr="0073313F">
        <w:rPr>
          <w:rFonts w:ascii="Times New Roman" w:hAnsi="Times New Roman" w:cs="Times New Roman"/>
          <w:sz w:val="24"/>
          <w:szCs w:val="24"/>
        </w:rPr>
        <w:t>calculate</w:t>
      </w:r>
      <w:r w:rsidRPr="0073313F">
        <w:rPr>
          <w:rFonts w:ascii="Times New Roman" w:hAnsi="Times New Roman" w:cs="Times New Roman"/>
          <w:sz w:val="24"/>
          <w:szCs w:val="24"/>
        </w:rPr>
        <w:t xml:space="preserve"> whether the decision is truly in their best interest. By guaranteeing this right, the law promotes transparency, prevents exploitation, and supports a fair relationship between individuals and the institutions that serve </w:t>
      </w:r>
      <w:r w:rsidR="00976DE1" w:rsidRPr="0073313F">
        <w:rPr>
          <w:rFonts w:ascii="Times New Roman" w:hAnsi="Times New Roman" w:cs="Times New Roman"/>
          <w:sz w:val="24"/>
          <w:szCs w:val="24"/>
        </w:rPr>
        <w:t>them.</w:t>
      </w:r>
      <w:r w:rsidR="00DB08F5" w:rsidRPr="0073313F">
        <w:rPr>
          <w:rFonts w:ascii="Times New Roman" w:hAnsi="Times New Roman" w:cs="Times New Roman"/>
          <w:sz w:val="24"/>
          <w:szCs w:val="24"/>
        </w:rPr>
        <w:t xml:space="preserve"> </w:t>
      </w:r>
      <w:sdt>
        <w:sdtPr>
          <w:rPr>
            <w:rFonts w:ascii="Times New Roman" w:hAnsi="Times New Roman" w:cs="Times New Roman"/>
            <w:sz w:val="24"/>
            <w:szCs w:val="24"/>
          </w:rPr>
          <w:id w:val="-1010362804"/>
          <w:citation/>
        </w:sdtPr>
        <w:sdtContent>
          <w:r w:rsidR="00DB08F5" w:rsidRPr="0073313F">
            <w:rPr>
              <w:rFonts w:ascii="Times New Roman" w:hAnsi="Times New Roman" w:cs="Times New Roman"/>
              <w:sz w:val="24"/>
              <w:szCs w:val="24"/>
            </w:rPr>
            <w:fldChar w:fldCharType="begin"/>
          </w:r>
          <w:r w:rsidR="00DB08F5" w:rsidRPr="0073313F">
            <w:rPr>
              <w:rFonts w:ascii="Times New Roman" w:hAnsi="Times New Roman" w:cs="Times New Roman"/>
              <w:sz w:val="24"/>
              <w:szCs w:val="24"/>
            </w:rPr>
            <w:instrText xml:space="preserve"> CITATION Eur2 \l 1033 </w:instrText>
          </w:r>
          <w:r w:rsidR="00DB08F5" w:rsidRPr="0073313F">
            <w:rPr>
              <w:rFonts w:ascii="Times New Roman" w:hAnsi="Times New Roman" w:cs="Times New Roman"/>
              <w:sz w:val="24"/>
              <w:szCs w:val="24"/>
            </w:rPr>
            <w:fldChar w:fldCharType="separate"/>
          </w:r>
          <w:r w:rsidR="00C06ABD" w:rsidRPr="0073313F">
            <w:rPr>
              <w:rFonts w:ascii="Times New Roman" w:hAnsi="Times New Roman" w:cs="Times New Roman"/>
              <w:noProof/>
              <w:sz w:val="24"/>
              <w:szCs w:val="24"/>
            </w:rPr>
            <w:t>(Union E. , Directive 2014/65/EU on Markets in Financial Instruments (MiFID II))</w:t>
          </w:r>
          <w:r w:rsidR="00DB08F5" w:rsidRPr="0073313F">
            <w:rPr>
              <w:rFonts w:ascii="Times New Roman" w:hAnsi="Times New Roman" w:cs="Times New Roman"/>
              <w:sz w:val="24"/>
              <w:szCs w:val="24"/>
            </w:rPr>
            <w:fldChar w:fldCharType="end"/>
          </w:r>
        </w:sdtContent>
      </w:sdt>
    </w:p>
    <w:p w14:paraId="4D14DAED" w14:textId="2A1624D3" w:rsidR="007177F2" w:rsidRPr="0073313F" w:rsidRDefault="00795C87" w:rsidP="00002CFB">
      <w:pPr>
        <w:pStyle w:val="Heading1"/>
        <w:rPr>
          <w:rFonts w:ascii="Times New Roman" w:hAnsi="Times New Roman" w:cs="Times New Roman"/>
          <w:sz w:val="24"/>
          <w:szCs w:val="24"/>
        </w:rPr>
      </w:pPr>
      <w:bookmarkStart w:id="15" w:name="_Toc214967413"/>
      <w:bookmarkStart w:id="16" w:name="_Toc215562046"/>
      <w:r w:rsidRPr="0073313F">
        <w:rPr>
          <w:rFonts w:ascii="Times New Roman" w:hAnsi="Times New Roman" w:cs="Times New Roman"/>
          <w:sz w:val="24"/>
          <w:szCs w:val="24"/>
        </w:rPr>
        <w:t>6</w:t>
      </w:r>
      <w:r w:rsidR="00002CFB" w:rsidRPr="0073313F">
        <w:rPr>
          <w:rFonts w:ascii="Times New Roman" w:hAnsi="Times New Roman" w:cs="Times New Roman"/>
          <w:sz w:val="24"/>
          <w:szCs w:val="24"/>
        </w:rPr>
        <w:t>. Right to compensation.</w:t>
      </w:r>
      <w:bookmarkEnd w:id="15"/>
      <w:bookmarkEnd w:id="16"/>
    </w:p>
    <w:p w14:paraId="16B9A39A" w14:textId="1257AA12" w:rsidR="005A16AD" w:rsidRPr="0073313F" w:rsidRDefault="005A16AD"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The right to compensation is the guarantee that individuals who suffer financial loss, harm, or damage because of another party’s wrong actions, negligence, or unlawful behavior are entitled to receive a fair </w:t>
      </w:r>
      <w:r w:rsidR="0077410E" w:rsidRPr="0073313F">
        <w:rPr>
          <w:rFonts w:ascii="Times New Roman" w:hAnsi="Times New Roman" w:cs="Times New Roman"/>
          <w:sz w:val="24"/>
          <w:szCs w:val="24"/>
        </w:rPr>
        <w:t>compensation</w:t>
      </w:r>
      <w:r w:rsidRPr="0073313F">
        <w:rPr>
          <w:rFonts w:ascii="Times New Roman" w:hAnsi="Times New Roman" w:cs="Times New Roman"/>
          <w:sz w:val="24"/>
          <w:szCs w:val="24"/>
        </w:rPr>
        <w:t xml:space="preserve"> that restores them as closely as possible to the position they were in before the harm occurred. This right ensures that people are not left to </w:t>
      </w:r>
      <w:r w:rsidR="0077410E" w:rsidRPr="0073313F">
        <w:rPr>
          <w:rFonts w:ascii="Times New Roman" w:hAnsi="Times New Roman" w:cs="Times New Roman"/>
          <w:sz w:val="24"/>
          <w:szCs w:val="24"/>
        </w:rPr>
        <w:t>stand</w:t>
      </w:r>
      <w:r w:rsidRPr="0073313F">
        <w:rPr>
          <w:rFonts w:ascii="Times New Roman" w:hAnsi="Times New Roman" w:cs="Times New Roman"/>
          <w:sz w:val="24"/>
          <w:szCs w:val="24"/>
        </w:rPr>
        <w:t xml:space="preserve"> the consequences of </w:t>
      </w:r>
      <w:r w:rsidR="0077410E" w:rsidRPr="0073313F">
        <w:rPr>
          <w:rFonts w:ascii="Times New Roman" w:hAnsi="Times New Roman" w:cs="Times New Roman"/>
          <w:sz w:val="24"/>
          <w:szCs w:val="24"/>
        </w:rPr>
        <w:t>wrongdoing</w:t>
      </w:r>
      <w:r w:rsidRPr="0073313F">
        <w:rPr>
          <w:rFonts w:ascii="Times New Roman" w:hAnsi="Times New Roman" w:cs="Times New Roman"/>
          <w:sz w:val="24"/>
          <w:szCs w:val="24"/>
        </w:rPr>
        <w:t xml:space="preserve">—such as fraud, misleading information, breach of contract, market manipulation, or professional negligence—on their own. Instead, the party responsible for causing the damage must provide repayment, reimbursement, or another form of financial </w:t>
      </w:r>
      <w:r w:rsidR="0077410E" w:rsidRPr="0073313F">
        <w:rPr>
          <w:rFonts w:ascii="Times New Roman" w:hAnsi="Times New Roman" w:cs="Times New Roman"/>
          <w:sz w:val="24"/>
          <w:szCs w:val="24"/>
        </w:rPr>
        <w:t>compensation</w:t>
      </w:r>
      <w:r w:rsidRPr="0073313F">
        <w:rPr>
          <w:rFonts w:ascii="Times New Roman" w:hAnsi="Times New Roman" w:cs="Times New Roman"/>
          <w:sz w:val="24"/>
          <w:szCs w:val="24"/>
        </w:rPr>
        <w:t>.</w:t>
      </w:r>
    </w:p>
    <w:p w14:paraId="4E522E5E" w14:textId="55BF77A4" w:rsidR="0068266D" w:rsidRPr="0073313F" w:rsidRDefault="005A16AD" w:rsidP="002F6701">
      <w:pPr>
        <w:jc w:val="both"/>
        <w:rPr>
          <w:rFonts w:ascii="Times New Roman" w:hAnsi="Times New Roman" w:cs="Times New Roman"/>
          <w:sz w:val="24"/>
          <w:szCs w:val="24"/>
        </w:rPr>
      </w:pPr>
      <w:r w:rsidRPr="0073313F">
        <w:rPr>
          <w:rFonts w:ascii="Times New Roman" w:hAnsi="Times New Roman" w:cs="Times New Roman"/>
          <w:sz w:val="24"/>
          <w:szCs w:val="24"/>
        </w:rPr>
        <w:t xml:space="preserve">Compensation can take many forms depending on the situation: returning lost money, covering additional costs caused by the wrongdoing, reimbursing for foreseeable losses, or even providing </w:t>
      </w:r>
      <w:r w:rsidR="0077410E" w:rsidRPr="0073313F">
        <w:rPr>
          <w:rFonts w:ascii="Times New Roman" w:hAnsi="Times New Roman" w:cs="Times New Roman"/>
          <w:sz w:val="24"/>
          <w:szCs w:val="24"/>
        </w:rPr>
        <w:t>compensations</w:t>
      </w:r>
      <w:r w:rsidRPr="0073313F">
        <w:rPr>
          <w:rFonts w:ascii="Times New Roman" w:hAnsi="Times New Roman" w:cs="Times New Roman"/>
          <w:sz w:val="24"/>
          <w:szCs w:val="24"/>
        </w:rPr>
        <w:t xml:space="preserve"> for emotional or reputational harm in certain cases. The essence of this right is fairness and accountability. It reinforces the idea that no one should profit from illegal or unethical actions and that victims deserve to be made whole. </w:t>
      </w:r>
      <w:r w:rsidRPr="0073313F">
        <w:rPr>
          <w:rFonts w:ascii="Times New Roman" w:hAnsi="Times New Roman" w:cs="Times New Roman"/>
          <w:sz w:val="24"/>
          <w:szCs w:val="24"/>
        </w:rPr>
        <w:lastRenderedPageBreak/>
        <w:t>By guaranteeing compensation, the legal system promotes trust, protects individuals, and encourages responsible behavior in financial, commercial, and public environments.</w:t>
      </w:r>
      <w:r w:rsidR="003D66C8" w:rsidRPr="0073313F">
        <w:rPr>
          <w:rFonts w:ascii="Times New Roman" w:hAnsi="Times New Roman" w:cs="Times New Roman"/>
          <w:sz w:val="24"/>
          <w:szCs w:val="24"/>
        </w:rPr>
        <w:t xml:space="preserve"> </w:t>
      </w:r>
      <w:sdt>
        <w:sdtPr>
          <w:rPr>
            <w:rFonts w:ascii="Times New Roman" w:hAnsi="Times New Roman" w:cs="Times New Roman"/>
            <w:sz w:val="24"/>
            <w:szCs w:val="24"/>
          </w:rPr>
          <w:id w:val="1024125507"/>
          <w:citation/>
        </w:sdtPr>
        <w:sdtContent>
          <w:r w:rsidR="003D66C8" w:rsidRPr="0073313F">
            <w:rPr>
              <w:rFonts w:ascii="Times New Roman" w:hAnsi="Times New Roman" w:cs="Times New Roman"/>
              <w:sz w:val="24"/>
              <w:szCs w:val="24"/>
            </w:rPr>
            <w:fldChar w:fldCharType="begin"/>
          </w:r>
          <w:r w:rsidR="003D66C8" w:rsidRPr="0073313F">
            <w:rPr>
              <w:rFonts w:ascii="Times New Roman" w:hAnsi="Times New Roman" w:cs="Times New Roman"/>
              <w:sz w:val="24"/>
              <w:szCs w:val="24"/>
            </w:rPr>
            <w:instrText xml:space="preserve"> CITATION Off \l 1033 </w:instrText>
          </w:r>
          <w:r w:rsidR="003D66C8" w:rsidRPr="0073313F">
            <w:rPr>
              <w:rFonts w:ascii="Times New Roman" w:hAnsi="Times New Roman" w:cs="Times New Roman"/>
              <w:sz w:val="24"/>
              <w:szCs w:val="24"/>
            </w:rPr>
            <w:fldChar w:fldCharType="separate"/>
          </w:r>
          <w:r w:rsidR="00C06ABD" w:rsidRPr="0073313F">
            <w:rPr>
              <w:rFonts w:ascii="Times New Roman" w:hAnsi="Times New Roman" w:cs="Times New Roman"/>
              <w:noProof/>
              <w:sz w:val="24"/>
              <w:szCs w:val="24"/>
            </w:rPr>
            <w:t>(Union O. J.)</w:t>
          </w:r>
          <w:r w:rsidR="003D66C8" w:rsidRPr="0073313F">
            <w:rPr>
              <w:rFonts w:ascii="Times New Roman" w:hAnsi="Times New Roman" w:cs="Times New Roman"/>
              <w:sz w:val="24"/>
              <w:szCs w:val="24"/>
            </w:rPr>
            <w:fldChar w:fldCharType="end"/>
          </w:r>
        </w:sdtContent>
      </w:sdt>
    </w:p>
    <w:p w14:paraId="4ECB1081" w14:textId="77777777" w:rsidR="005A16AD" w:rsidRDefault="005A16AD" w:rsidP="002F6701">
      <w:pPr>
        <w:jc w:val="both"/>
      </w:pPr>
    </w:p>
    <w:p w14:paraId="5D107DD1" w14:textId="77777777" w:rsidR="00754AA7" w:rsidRDefault="00754AA7" w:rsidP="002F6701">
      <w:pPr>
        <w:jc w:val="both"/>
      </w:pPr>
    </w:p>
    <w:p w14:paraId="3CA207A4" w14:textId="0EAD64A6" w:rsidR="007177F2" w:rsidRPr="00976DE1" w:rsidRDefault="00000000" w:rsidP="00002CFB">
      <w:pPr>
        <w:pStyle w:val="Heading1"/>
        <w:rPr>
          <w:b w:val="0"/>
          <w:bCs w:val="0"/>
        </w:rPr>
      </w:pPr>
      <w:bookmarkStart w:id="17" w:name="_Toc214967414"/>
      <w:bookmarkStart w:id="18" w:name="_Toc215562047"/>
      <w:r w:rsidRPr="00976DE1">
        <w:t>ROLE OF REGULATORS</w:t>
      </w:r>
      <w:bookmarkEnd w:id="17"/>
      <w:bookmarkEnd w:id="18"/>
    </w:p>
    <w:p w14:paraId="2F0BE3BD" w14:textId="6D0F1411"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 xml:space="preserve">Regulators serve as </w:t>
      </w:r>
      <w:r w:rsidR="00D062C0" w:rsidRPr="00A26293">
        <w:rPr>
          <w:rFonts w:ascii="Times New Roman" w:hAnsi="Times New Roman" w:cs="Times New Roman"/>
          <w:sz w:val="24"/>
          <w:szCs w:val="24"/>
        </w:rPr>
        <w:t>protectors</w:t>
      </w:r>
      <w:r w:rsidRPr="00A26293">
        <w:rPr>
          <w:rFonts w:ascii="Times New Roman" w:hAnsi="Times New Roman" w:cs="Times New Roman"/>
          <w:sz w:val="24"/>
          <w:szCs w:val="24"/>
        </w:rPr>
        <w:t xml:space="preserve"> of market </w:t>
      </w:r>
      <w:r w:rsidR="00D062C0" w:rsidRPr="00A26293">
        <w:rPr>
          <w:rFonts w:ascii="Times New Roman" w:hAnsi="Times New Roman" w:cs="Times New Roman"/>
          <w:sz w:val="24"/>
          <w:szCs w:val="24"/>
        </w:rPr>
        <w:t>honesty</w:t>
      </w:r>
      <w:r w:rsidRPr="00A26293">
        <w:rPr>
          <w:rFonts w:ascii="Times New Roman" w:hAnsi="Times New Roman" w:cs="Times New Roman"/>
          <w:sz w:val="24"/>
          <w:szCs w:val="24"/>
        </w:rPr>
        <w:t>. In North Macedonia, the Commission for Securities oversees the Macedonian Stock Exchange, monitors trading activities, and supervises brokers, investment funds, custodians, and depositaries. It may request documentation, conduct on‑site inspections, freeze accounts, revoke licenses, and impose administrative penalties.</w:t>
      </w:r>
      <w:r w:rsidR="003D66C8" w:rsidRPr="00A26293">
        <w:rPr>
          <w:rFonts w:ascii="Times New Roman" w:hAnsi="Times New Roman" w:cs="Times New Roman"/>
          <w:sz w:val="24"/>
          <w:szCs w:val="24"/>
        </w:rPr>
        <w:t xml:space="preserve"> </w:t>
      </w:r>
      <w:sdt>
        <w:sdtPr>
          <w:rPr>
            <w:rFonts w:ascii="Times New Roman" w:hAnsi="Times New Roman" w:cs="Times New Roman"/>
            <w:sz w:val="24"/>
            <w:szCs w:val="24"/>
          </w:rPr>
          <w:id w:val="-1716573278"/>
          <w:citation/>
        </w:sdtPr>
        <w:sdtContent>
          <w:r w:rsidR="003D66C8" w:rsidRPr="00A26293">
            <w:rPr>
              <w:rFonts w:ascii="Times New Roman" w:hAnsi="Times New Roman" w:cs="Times New Roman"/>
              <w:sz w:val="24"/>
              <w:szCs w:val="24"/>
            </w:rPr>
            <w:fldChar w:fldCharType="begin"/>
          </w:r>
          <w:r w:rsidR="003D66C8" w:rsidRPr="00A26293">
            <w:rPr>
              <w:rFonts w:ascii="Times New Roman" w:hAnsi="Times New Roman" w:cs="Times New Roman"/>
              <w:sz w:val="24"/>
              <w:szCs w:val="24"/>
            </w:rPr>
            <w:instrText xml:space="preserve"> CITATION Sec \l 1033 </w:instrText>
          </w:r>
          <w:r w:rsidR="003D66C8" w:rsidRPr="00A26293">
            <w:rPr>
              <w:rFonts w:ascii="Times New Roman" w:hAnsi="Times New Roman" w:cs="Times New Roman"/>
              <w:sz w:val="24"/>
              <w:szCs w:val="24"/>
            </w:rPr>
            <w:fldChar w:fldCharType="separate"/>
          </w:r>
          <w:r w:rsidR="00C06ABD" w:rsidRPr="00A26293">
            <w:rPr>
              <w:rFonts w:ascii="Times New Roman" w:hAnsi="Times New Roman" w:cs="Times New Roman"/>
              <w:noProof/>
              <w:sz w:val="24"/>
              <w:szCs w:val="24"/>
            </w:rPr>
            <w:t>(Macedoni)</w:t>
          </w:r>
          <w:r w:rsidR="003D66C8" w:rsidRPr="00A26293">
            <w:rPr>
              <w:rFonts w:ascii="Times New Roman" w:hAnsi="Times New Roman" w:cs="Times New Roman"/>
              <w:sz w:val="24"/>
              <w:szCs w:val="24"/>
            </w:rPr>
            <w:fldChar w:fldCharType="end"/>
          </w:r>
        </w:sdtContent>
      </w:sdt>
    </w:p>
    <w:p w14:paraId="762C963C" w14:textId="77777777"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In the EU, ESMA coordinates cross‑border market supervision. National regulators—such as BaFin (Germany), AMF (France), CONSOB (Italy), and CNMV (Spain)—enforce rules domestically but cooperate with ESMA to detect cross‑border manipulation, insider trading, and systemic risks. ESMA publishes guidelines, Q&amp;As, and risk assessments to ensure uniform interpretation of EU law.</w:t>
      </w:r>
    </w:p>
    <w:p w14:paraId="278C6E10" w14:textId="77777777"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DISCLOSURE REQUIREMENTS</w:t>
      </w:r>
    </w:p>
    <w:p w14:paraId="516735CD" w14:textId="77777777"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Disclosure is the core mechanism through which investor protection is operationalized. Without full and fair disclosure, investors cannot make informed decisions. The regulatory framework mandates:</w:t>
      </w:r>
    </w:p>
    <w:p w14:paraId="199FCBC7" w14:textId="35FCEA92"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 Prospectuses that provide complete information about risks, financials, and governanc</w:t>
      </w:r>
      <w:r w:rsidR="00B93A63" w:rsidRPr="00A26293">
        <w:rPr>
          <w:rFonts w:ascii="Times New Roman" w:hAnsi="Times New Roman" w:cs="Times New Roman"/>
          <w:sz w:val="24"/>
          <w:szCs w:val="24"/>
        </w:rPr>
        <w:t xml:space="preserve">e </w:t>
      </w:r>
      <w:r w:rsidRPr="00A26293">
        <w:rPr>
          <w:rFonts w:ascii="Times New Roman" w:hAnsi="Times New Roman" w:cs="Times New Roman"/>
          <w:sz w:val="24"/>
          <w:szCs w:val="24"/>
        </w:rPr>
        <w:t>Annual and semi‑annual financial statements, audited and publicly available;</w:t>
      </w:r>
    </w:p>
    <w:p w14:paraId="22596058" w14:textId="6988AACA"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 Reports on major shareholdings when thresholds such as 5%, 10%, 15%, etc. are crossed;</w:t>
      </w:r>
    </w:p>
    <w:p w14:paraId="59D1DBA5" w14:textId="0CCD78A2"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 Immediate publication of inside information</w:t>
      </w:r>
      <w:r w:rsidR="00B93A63" w:rsidRPr="00A26293">
        <w:rPr>
          <w:rFonts w:ascii="Times New Roman" w:hAnsi="Times New Roman" w:cs="Times New Roman"/>
          <w:sz w:val="24"/>
          <w:szCs w:val="24"/>
        </w:rPr>
        <w:t xml:space="preserve"> </w:t>
      </w:r>
      <w:r w:rsidRPr="00A26293">
        <w:rPr>
          <w:rFonts w:ascii="Times New Roman" w:hAnsi="Times New Roman" w:cs="Times New Roman"/>
          <w:sz w:val="24"/>
          <w:szCs w:val="24"/>
        </w:rPr>
        <w:t xml:space="preserve">that may affect prices, unless a delay is justified under strict </w:t>
      </w:r>
      <w:r w:rsidR="00B93A63" w:rsidRPr="00A26293">
        <w:rPr>
          <w:rFonts w:ascii="Times New Roman" w:hAnsi="Times New Roman" w:cs="Times New Roman"/>
          <w:sz w:val="24"/>
          <w:szCs w:val="24"/>
        </w:rPr>
        <w:t>conditions;</w:t>
      </w:r>
    </w:p>
    <w:p w14:paraId="62E43450" w14:textId="508ACD93"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 Disclosure of director dealings meaning that persons in managerial positions must report their trades.</w:t>
      </w:r>
    </w:p>
    <w:p w14:paraId="67B7C610" w14:textId="77777777"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Brokers must disclose:</w:t>
      </w:r>
    </w:p>
    <w:p w14:paraId="65B6CFD1" w14:textId="0C856232"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 xml:space="preserve">- All fees and </w:t>
      </w:r>
      <w:r w:rsidR="00B93A63" w:rsidRPr="00A26293">
        <w:rPr>
          <w:rFonts w:ascii="Times New Roman" w:hAnsi="Times New Roman" w:cs="Times New Roman"/>
          <w:sz w:val="24"/>
          <w:szCs w:val="24"/>
        </w:rPr>
        <w:t>commissions, all</w:t>
      </w:r>
      <w:r w:rsidRPr="00A26293">
        <w:rPr>
          <w:rFonts w:ascii="Times New Roman" w:hAnsi="Times New Roman" w:cs="Times New Roman"/>
          <w:sz w:val="24"/>
          <w:szCs w:val="24"/>
        </w:rPr>
        <w:t xml:space="preserve"> risks associated with investment </w:t>
      </w:r>
      <w:r w:rsidR="00B93A63" w:rsidRPr="00A26293">
        <w:rPr>
          <w:rFonts w:ascii="Times New Roman" w:hAnsi="Times New Roman" w:cs="Times New Roman"/>
          <w:sz w:val="24"/>
          <w:szCs w:val="24"/>
        </w:rPr>
        <w:t>products, any</w:t>
      </w:r>
      <w:r w:rsidRPr="00A26293">
        <w:rPr>
          <w:rFonts w:ascii="Times New Roman" w:hAnsi="Times New Roman" w:cs="Times New Roman"/>
          <w:sz w:val="24"/>
          <w:szCs w:val="24"/>
        </w:rPr>
        <w:t xml:space="preserve"> conflicts of interest,</w:t>
      </w:r>
      <w:r w:rsidR="00B93A63" w:rsidRPr="00A26293">
        <w:rPr>
          <w:rFonts w:ascii="Times New Roman" w:hAnsi="Times New Roman" w:cs="Times New Roman"/>
          <w:sz w:val="24"/>
          <w:szCs w:val="24"/>
        </w:rPr>
        <w:t xml:space="preserve"> </w:t>
      </w:r>
      <w:r w:rsidRPr="00A26293">
        <w:rPr>
          <w:rFonts w:ascii="Times New Roman" w:hAnsi="Times New Roman" w:cs="Times New Roman"/>
          <w:sz w:val="24"/>
          <w:szCs w:val="24"/>
        </w:rPr>
        <w:t>The basis for investment advice,</w:t>
      </w:r>
      <w:r w:rsidR="00B93A63" w:rsidRPr="00A26293">
        <w:rPr>
          <w:rFonts w:ascii="Times New Roman" w:hAnsi="Times New Roman" w:cs="Times New Roman"/>
          <w:sz w:val="24"/>
          <w:szCs w:val="24"/>
        </w:rPr>
        <w:t xml:space="preserve"> whether</w:t>
      </w:r>
      <w:r w:rsidRPr="00A26293">
        <w:rPr>
          <w:rFonts w:ascii="Times New Roman" w:hAnsi="Times New Roman" w:cs="Times New Roman"/>
          <w:sz w:val="24"/>
          <w:szCs w:val="24"/>
        </w:rPr>
        <w:t xml:space="preserve"> instruments are suitable or appropriate </w:t>
      </w:r>
      <w:r w:rsidRPr="00A26293">
        <w:rPr>
          <w:rFonts w:ascii="Times New Roman" w:hAnsi="Times New Roman" w:cs="Times New Roman"/>
          <w:sz w:val="24"/>
          <w:szCs w:val="24"/>
        </w:rPr>
        <w:lastRenderedPageBreak/>
        <w:t>for the client.</w:t>
      </w:r>
      <w:r w:rsidR="00B93A63" w:rsidRPr="00A26293">
        <w:rPr>
          <w:rFonts w:ascii="Times New Roman" w:hAnsi="Times New Roman" w:cs="Times New Roman"/>
          <w:sz w:val="24"/>
          <w:szCs w:val="24"/>
        </w:rPr>
        <w:t xml:space="preserve"> </w:t>
      </w:r>
      <w:r w:rsidRPr="00A26293">
        <w:rPr>
          <w:rFonts w:ascii="Times New Roman" w:hAnsi="Times New Roman" w:cs="Times New Roman"/>
          <w:sz w:val="24"/>
          <w:szCs w:val="24"/>
        </w:rPr>
        <w:t>These obligations prevent information asymmetry and limit opportunities for manipulation.</w:t>
      </w:r>
    </w:p>
    <w:p w14:paraId="7F0EC198" w14:textId="7D21D37B" w:rsidR="00754AA7" w:rsidRPr="00A26293" w:rsidRDefault="00000000" w:rsidP="002F6701">
      <w:pPr>
        <w:jc w:val="both"/>
        <w:rPr>
          <w:rFonts w:ascii="Times New Roman" w:hAnsi="Times New Roman" w:cs="Times New Roman"/>
          <w:sz w:val="24"/>
          <w:szCs w:val="24"/>
        </w:rPr>
      </w:pPr>
      <w:sdt>
        <w:sdtPr>
          <w:rPr>
            <w:rFonts w:ascii="Times New Roman" w:hAnsi="Times New Roman" w:cs="Times New Roman"/>
            <w:sz w:val="24"/>
            <w:szCs w:val="24"/>
          </w:rPr>
          <w:id w:val="1932470462"/>
          <w:citation/>
        </w:sdtPr>
        <w:sdtContent>
          <w:r w:rsidR="003D66C8" w:rsidRPr="00A26293">
            <w:rPr>
              <w:rFonts w:ascii="Times New Roman" w:hAnsi="Times New Roman" w:cs="Times New Roman"/>
              <w:sz w:val="24"/>
              <w:szCs w:val="24"/>
            </w:rPr>
            <w:fldChar w:fldCharType="begin"/>
          </w:r>
          <w:r w:rsidR="003D66C8" w:rsidRPr="00A26293">
            <w:rPr>
              <w:rFonts w:ascii="Times New Roman" w:hAnsi="Times New Roman" w:cs="Times New Roman"/>
              <w:sz w:val="24"/>
              <w:szCs w:val="24"/>
            </w:rPr>
            <w:instrText xml:space="preserve"> CITATION Eur3 \l 1033 </w:instrText>
          </w:r>
          <w:r w:rsidR="003D66C8" w:rsidRPr="00A26293">
            <w:rPr>
              <w:rFonts w:ascii="Times New Roman" w:hAnsi="Times New Roman" w:cs="Times New Roman"/>
              <w:sz w:val="24"/>
              <w:szCs w:val="24"/>
            </w:rPr>
            <w:fldChar w:fldCharType="separate"/>
          </w:r>
          <w:r w:rsidR="00C06ABD" w:rsidRPr="00A26293">
            <w:rPr>
              <w:rFonts w:ascii="Times New Roman" w:hAnsi="Times New Roman" w:cs="Times New Roman"/>
              <w:noProof/>
              <w:sz w:val="24"/>
              <w:szCs w:val="24"/>
            </w:rPr>
            <w:t>(ESMA)</w:t>
          </w:r>
          <w:r w:rsidR="003D66C8" w:rsidRPr="00A26293">
            <w:rPr>
              <w:rFonts w:ascii="Times New Roman" w:hAnsi="Times New Roman" w:cs="Times New Roman"/>
              <w:sz w:val="24"/>
              <w:szCs w:val="24"/>
            </w:rPr>
            <w:fldChar w:fldCharType="end"/>
          </w:r>
        </w:sdtContent>
      </w:sdt>
    </w:p>
    <w:p w14:paraId="4F06A496" w14:textId="77777777" w:rsidR="00D062C0" w:rsidRDefault="00D062C0" w:rsidP="00002CFB">
      <w:pPr>
        <w:pStyle w:val="Heading1"/>
      </w:pPr>
      <w:bookmarkStart w:id="19" w:name="_Toc214967415"/>
      <w:bookmarkStart w:id="20" w:name="_Toc215562048"/>
    </w:p>
    <w:p w14:paraId="314F70E6" w14:textId="00AEDAA5" w:rsidR="007177F2" w:rsidRPr="00976DE1" w:rsidRDefault="00000000" w:rsidP="00002CFB">
      <w:pPr>
        <w:pStyle w:val="Heading1"/>
        <w:rPr>
          <w:b w:val="0"/>
          <w:bCs w:val="0"/>
        </w:rPr>
      </w:pPr>
      <w:r w:rsidRPr="00976DE1">
        <w:t>FORMS OF FRAUD AND MARKET ABUSE</w:t>
      </w:r>
      <w:bookmarkEnd w:id="19"/>
      <w:bookmarkEnd w:id="20"/>
    </w:p>
    <w:p w14:paraId="4FAAF794" w14:textId="67945B1D" w:rsidR="007177F2" w:rsidRPr="00A26293" w:rsidRDefault="00000000" w:rsidP="00002CFB">
      <w:pPr>
        <w:pStyle w:val="Heading2"/>
        <w:rPr>
          <w:rFonts w:ascii="Times New Roman" w:hAnsi="Times New Roman" w:cs="Times New Roman"/>
          <w:sz w:val="24"/>
          <w:szCs w:val="24"/>
        </w:rPr>
      </w:pPr>
      <w:bookmarkStart w:id="21" w:name="_Toc214967416"/>
      <w:bookmarkStart w:id="22" w:name="_Toc215562049"/>
      <w:r w:rsidRPr="00A26293">
        <w:rPr>
          <w:rFonts w:ascii="Times New Roman" w:hAnsi="Times New Roman" w:cs="Times New Roman"/>
          <w:sz w:val="24"/>
          <w:szCs w:val="24"/>
        </w:rPr>
        <w:t>1. Financial reporting fraud</w:t>
      </w:r>
      <w:bookmarkEnd w:id="21"/>
      <w:bookmarkEnd w:id="22"/>
    </w:p>
    <w:p w14:paraId="6CE8C24D" w14:textId="33202213"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Companies may falsify revenues, hide losses, overstate assets, or create fictitious transactions. Financial reporting fraud misleads investors and undermines market confidence.</w:t>
      </w:r>
    </w:p>
    <w:p w14:paraId="29093981" w14:textId="122E55E4" w:rsidR="00D80E91" w:rsidRPr="00A26293" w:rsidRDefault="00000000" w:rsidP="00002CFB">
      <w:pPr>
        <w:pStyle w:val="Heading2"/>
        <w:rPr>
          <w:rFonts w:ascii="Times New Roman" w:hAnsi="Times New Roman" w:cs="Times New Roman"/>
          <w:sz w:val="24"/>
          <w:szCs w:val="24"/>
        </w:rPr>
      </w:pPr>
      <w:bookmarkStart w:id="23" w:name="_Toc214967417"/>
      <w:bookmarkStart w:id="24" w:name="_Toc215562050"/>
      <w:r w:rsidRPr="00A26293">
        <w:rPr>
          <w:rFonts w:ascii="Times New Roman" w:hAnsi="Times New Roman" w:cs="Times New Roman"/>
          <w:sz w:val="24"/>
          <w:szCs w:val="24"/>
        </w:rPr>
        <w:t>2. Ponzi and pyramid schemes</w:t>
      </w:r>
      <w:bookmarkEnd w:id="23"/>
      <w:bookmarkEnd w:id="24"/>
    </w:p>
    <w:p w14:paraId="4659379A" w14:textId="5793106C" w:rsidR="00D80E91" w:rsidRPr="00A26293" w:rsidRDefault="00D80E91" w:rsidP="002F6701">
      <w:pPr>
        <w:jc w:val="both"/>
        <w:rPr>
          <w:rFonts w:ascii="Times New Roman" w:hAnsi="Times New Roman" w:cs="Times New Roman"/>
          <w:sz w:val="24"/>
          <w:szCs w:val="24"/>
        </w:rPr>
      </w:pPr>
      <w:r w:rsidRPr="00A26293">
        <w:rPr>
          <w:rFonts w:ascii="Times New Roman" w:hAnsi="Times New Roman" w:cs="Times New Roman"/>
          <w:sz w:val="24"/>
          <w:szCs w:val="24"/>
        </w:rPr>
        <w:t xml:space="preserve">A Ponzi scheme is a form of financial fraud in which the organizer attracts investors by promising unusually high, </w:t>
      </w:r>
      <w:r w:rsidR="00D062C0" w:rsidRPr="00A26293">
        <w:rPr>
          <w:rFonts w:ascii="Times New Roman" w:hAnsi="Times New Roman" w:cs="Times New Roman"/>
          <w:sz w:val="24"/>
          <w:szCs w:val="24"/>
        </w:rPr>
        <w:t>stable</w:t>
      </w:r>
      <w:r w:rsidRPr="00A26293">
        <w:rPr>
          <w:rFonts w:ascii="Times New Roman" w:hAnsi="Times New Roman" w:cs="Times New Roman"/>
          <w:sz w:val="24"/>
          <w:szCs w:val="24"/>
        </w:rPr>
        <w:t xml:space="preserve">, and guaranteed returns, but instead of </w:t>
      </w:r>
      <w:r w:rsidR="00D062C0" w:rsidRPr="00A26293">
        <w:rPr>
          <w:rFonts w:ascii="Times New Roman" w:hAnsi="Times New Roman" w:cs="Times New Roman"/>
          <w:sz w:val="24"/>
          <w:szCs w:val="24"/>
        </w:rPr>
        <w:t>making</w:t>
      </w:r>
      <w:r w:rsidRPr="00A26293">
        <w:rPr>
          <w:rFonts w:ascii="Times New Roman" w:hAnsi="Times New Roman" w:cs="Times New Roman"/>
          <w:sz w:val="24"/>
          <w:szCs w:val="24"/>
        </w:rPr>
        <w:t xml:space="preserve"> those profits through legitimate business activity, the organizer pays earlier participants with the money collected from newer ones. There is no real investment engine behind the scheme—no actual trading, no productive activity, and no </w:t>
      </w:r>
      <w:r w:rsidR="00946B4E" w:rsidRPr="00A26293">
        <w:rPr>
          <w:rFonts w:ascii="Times New Roman" w:hAnsi="Times New Roman" w:cs="Times New Roman"/>
          <w:sz w:val="24"/>
          <w:szCs w:val="24"/>
        </w:rPr>
        <w:t>maintainable</w:t>
      </w:r>
      <w:r w:rsidRPr="00A26293">
        <w:rPr>
          <w:rFonts w:ascii="Times New Roman" w:hAnsi="Times New Roman" w:cs="Times New Roman"/>
          <w:sz w:val="24"/>
          <w:szCs w:val="24"/>
        </w:rPr>
        <w:t xml:space="preserve"> source of income. Its entire structure is dependent on a continuous </w:t>
      </w:r>
      <w:r w:rsidR="00946B4E" w:rsidRPr="00A26293">
        <w:rPr>
          <w:rFonts w:ascii="Times New Roman" w:hAnsi="Times New Roman" w:cs="Times New Roman"/>
          <w:sz w:val="24"/>
          <w:szCs w:val="24"/>
        </w:rPr>
        <w:t>arrival</w:t>
      </w:r>
      <w:r w:rsidRPr="00A26293">
        <w:rPr>
          <w:rFonts w:ascii="Times New Roman" w:hAnsi="Times New Roman" w:cs="Times New Roman"/>
          <w:sz w:val="24"/>
          <w:szCs w:val="24"/>
        </w:rPr>
        <w:t xml:space="preserve"> of fresh investors whose contributions are used to maintain the illusion of </w:t>
      </w:r>
      <w:r w:rsidR="00946B4E" w:rsidRPr="00A26293">
        <w:rPr>
          <w:rFonts w:ascii="Times New Roman" w:hAnsi="Times New Roman" w:cs="Times New Roman"/>
          <w:sz w:val="24"/>
          <w:szCs w:val="24"/>
        </w:rPr>
        <w:t>profit</w:t>
      </w:r>
      <w:r w:rsidRPr="00A26293">
        <w:rPr>
          <w:rFonts w:ascii="Times New Roman" w:hAnsi="Times New Roman" w:cs="Times New Roman"/>
          <w:sz w:val="24"/>
          <w:szCs w:val="24"/>
        </w:rPr>
        <w:t xml:space="preserve">. This false appearance of success is often reinforced by smooth-talking promoters, </w:t>
      </w:r>
      <w:r w:rsidR="00946B4E" w:rsidRPr="00A26293">
        <w:rPr>
          <w:rFonts w:ascii="Times New Roman" w:hAnsi="Times New Roman" w:cs="Times New Roman"/>
          <w:sz w:val="24"/>
          <w:szCs w:val="24"/>
        </w:rPr>
        <w:t>made-up</w:t>
      </w:r>
      <w:r w:rsidRPr="00A26293">
        <w:rPr>
          <w:rFonts w:ascii="Times New Roman" w:hAnsi="Times New Roman" w:cs="Times New Roman"/>
          <w:sz w:val="24"/>
          <w:szCs w:val="24"/>
        </w:rPr>
        <w:t xml:space="preserve"> financial statements, selective payouts, and the reputation or trust the organizer builds within a community. Early investors often believe they are making </w:t>
      </w:r>
      <w:r w:rsidR="00946B4E" w:rsidRPr="00A26293">
        <w:rPr>
          <w:rFonts w:ascii="Times New Roman" w:hAnsi="Times New Roman" w:cs="Times New Roman"/>
          <w:sz w:val="24"/>
          <w:szCs w:val="24"/>
        </w:rPr>
        <w:t>significant</w:t>
      </w:r>
      <w:r w:rsidRPr="00A26293">
        <w:rPr>
          <w:rFonts w:ascii="Times New Roman" w:hAnsi="Times New Roman" w:cs="Times New Roman"/>
          <w:sz w:val="24"/>
          <w:szCs w:val="24"/>
        </w:rPr>
        <w:t xml:space="preserve"> legitimate profit and may even re-invest their returns, which strengthens the scheme temporarily and attracts more victims.</w:t>
      </w:r>
    </w:p>
    <w:p w14:paraId="25CD11C7" w14:textId="3B02CE06" w:rsidR="00D80E91" w:rsidRPr="00A26293" w:rsidRDefault="00D80E91" w:rsidP="002F6701">
      <w:pPr>
        <w:jc w:val="both"/>
        <w:rPr>
          <w:rFonts w:ascii="Times New Roman" w:hAnsi="Times New Roman" w:cs="Times New Roman"/>
          <w:sz w:val="24"/>
          <w:szCs w:val="24"/>
        </w:rPr>
      </w:pPr>
      <w:r w:rsidRPr="00A26293">
        <w:rPr>
          <w:rFonts w:ascii="Times New Roman" w:hAnsi="Times New Roman" w:cs="Times New Roman"/>
          <w:sz w:val="24"/>
          <w:szCs w:val="24"/>
        </w:rPr>
        <w:t xml:space="preserve">Over time, however, the system becomes mathematically impossible to </w:t>
      </w:r>
      <w:r w:rsidR="00946B4E" w:rsidRPr="00A26293">
        <w:rPr>
          <w:rFonts w:ascii="Times New Roman" w:hAnsi="Times New Roman" w:cs="Times New Roman"/>
          <w:sz w:val="24"/>
          <w:szCs w:val="24"/>
        </w:rPr>
        <w:t>withstand</w:t>
      </w:r>
      <w:r w:rsidRPr="00A26293">
        <w:rPr>
          <w:rFonts w:ascii="Times New Roman" w:hAnsi="Times New Roman" w:cs="Times New Roman"/>
          <w:sz w:val="24"/>
          <w:szCs w:val="24"/>
        </w:rPr>
        <w:t xml:space="preserve">, because it requires an exponentially growing pool of new contributors to keep providing payouts. Once recruitment slows down or investors begin requesting withdrawals, the flow of money cannot keep up with the promises made, and the entire structure collapses. The organizer may disappear, declare bankruptcy, or claim an external crisis, but the result is always the same: most participants lose their money, while only the earliest investors and the organizer profit. Ponzi schemes thrive on trust, desperation, and the human tendency to believe in extraordinary opportunities, making them one of the most persistent and damaging forms of financial </w:t>
      </w:r>
      <w:r w:rsidR="00946B4E" w:rsidRPr="00A26293">
        <w:rPr>
          <w:rFonts w:ascii="Times New Roman" w:hAnsi="Times New Roman" w:cs="Times New Roman"/>
          <w:sz w:val="24"/>
          <w:szCs w:val="24"/>
        </w:rPr>
        <w:t>dishonesty</w:t>
      </w:r>
      <w:r w:rsidRPr="00A26293">
        <w:rPr>
          <w:rFonts w:ascii="Times New Roman" w:hAnsi="Times New Roman" w:cs="Times New Roman"/>
          <w:sz w:val="24"/>
          <w:szCs w:val="24"/>
        </w:rPr>
        <w:t>.</w:t>
      </w:r>
    </w:p>
    <w:p w14:paraId="01D6C42D" w14:textId="6475C668" w:rsidR="00976DE1" w:rsidRPr="00A26293" w:rsidRDefault="00000000" w:rsidP="00002CFB">
      <w:pPr>
        <w:pStyle w:val="Heading2"/>
        <w:rPr>
          <w:rFonts w:ascii="Times New Roman" w:hAnsi="Times New Roman" w:cs="Times New Roman"/>
          <w:sz w:val="24"/>
          <w:szCs w:val="24"/>
        </w:rPr>
      </w:pPr>
      <w:bookmarkStart w:id="25" w:name="_Toc214967418"/>
      <w:bookmarkStart w:id="26" w:name="_Toc215562051"/>
      <w:r w:rsidRPr="00A26293">
        <w:rPr>
          <w:rFonts w:ascii="Times New Roman" w:hAnsi="Times New Roman" w:cs="Times New Roman"/>
          <w:sz w:val="24"/>
          <w:szCs w:val="24"/>
        </w:rPr>
        <w:t>3. Insider trading</w:t>
      </w:r>
      <w:bookmarkEnd w:id="25"/>
      <w:bookmarkEnd w:id="26"/>
    </w:p>
    <w:p w14:paraId="2E2EE7E4" w14:textId="0DD1A6D9" w:rsidR="007177F2" w:rsidRPr="00A26293" w:rsidRDefault="00976DE1" w:rsidP="002F6701">
      <w:pPr>
        <w:jc w:val="both"/>
        <w:rPr>
          <w:rFonts w:ascii="Times New Roman" w:hAnsi="Times New Roman" w:cs="Times New Roman"/>
          <w:sz w:val="24"/>
          <w:szCs w:val="24"/>
        </w:rPr>
      </w:pPr>
      <w:r w:rsidRPr="00A26293">
        <w:rPr>
          <w:rFonts w:ascii="Times New Roman" w:hAnsi="Times New Roman" w:cs="Times New Roman"/>
          <w:sz w:val="24"/>
          <w:szCs w:val="24"/>
        </w:rPr>
        <w:t xml:space="preserve">Insider trading is the illegal practice in which a person with privileged, non-public, price-sensitive information—such as impending financial losses, major product developments, </w:t>
      </w:r>
      <w:r w:rsidRPr="00A26293">
        <w:rPr>
          <w:rFonts w:ascii="Times New Roman" w:hAnsi="Times New Roman" w:cs="Times New Roman"/>
          <w:sz w:val="24"/>
          <w:szCs w:val="24"/>
        </w:rPr>
        <w:lastRenderedPageBreak/>
        <w:t>mergers, acquisitions, or undisclosed legal problems—buys or sells securities before the information becomes public, gaining an unfair advantage over ordinary investors.</w:t>
      </w:r>
    </w:p>
    <w:p w14:paraId="5882D897" w14:textId="447FC769" w:rsidR="007177F2" w:rsidRDefault="00000000" w:rsidP="002F6701">
      <w:pPr>
        <w:jc w:val="both"/>
      </w:pPr>
      <w:r>
        <w:t>- Cornering (taking control of a security to manipulate price).</w:t>
      </w:r>
      <w:r w:rsidR="00C17B63">
        <w:t xml:space="preserve"> </w:t>
      </w:r>
      <w:sdt>
        <w:sdtPr>
          <w:id w:val="-120076950"/>
          <w:citation/>
        </w:sdtPr>
        <w:sdtContent>
          <w:r w:rsidR="00C17B63">
            <w:fldChar w:fldCharType="begin"/>
          </w:r>
          <w:r w:rsidR="00C17B63">
            <w:instrText xml:space="preserve"> CITATION Eur4 \l 1033 </w:instrText>
          </w:r>
          <w:r w:rsidR="00C17B63">
            <w:fldChar w:fldCharType="separate"/>
          </w:r>
          <w:r w:rsidR="00C06ABD">
            <w:rPr>
              <w:noProof/>
            </w:rPr>
            <w:t>(Union E. , Regulation (EU) No 596/2014 on Market Abuse (Market Abuse Regulation — MAR))</w:t>
          </w:r>
          <w:r w:rsidR="00C17B63">
            <w:fldChar w:fldCharType="end"/>
          </w:r>
        </w:sdtContent>
      </w:sdt>
    </w:p>
    <w:p w14:paraId="22CF2AE6" w14:textId="77777777" w:rsidR="00D80E91" w:rsidRPr="00754AA7" w:rsidRDefault="00D80E91" w:rsidP="002F6701">
      <w:pPr>
        <w:jc w:val="both"/>
        <w:rPr>
          <w:b/>
          <w:bCs/>
        </w:rPr>
      </w:pPr>
    </w:p>
    <w:p w14:paraId="2EBBECA0" w14:textId="563AA4C0" w:rsidR="007177F2" w:rsidRPr="00754AA7" w:rsidRDefault="00000000" w:rsidP="00002CFB">
      <w:pPr>
        <w:pStyle w:val="Heading1"/>
        <w:rPr>
          <w:b w:val="0"/>
          <w:bCs w:val="0"/>
        </w:rPr>
      </w:pPr>
      <w:bookmarkStart w:id="27" w:name="_Toc214967419"/>
      <w:bookmarkStart w:id="28" w:name="_Toc215562052"/>
      <w:r w:rsidRPr="00754AA7">
        <w:t>RECENT CASES OF INVESTOR PROTECTION FAILURES</w:t>
      </w:r>
      <w:bookmarkEnd w:id="27"/>
      <w:bookmarkEnd w:id="28"/>
    </w:p>
    <w:p w14:paraId="7A7192CF" w14:textId="7DEB0DA1" w:rsidR="007177F2" w:rsidRPr="00A26293" w:rsidRDefault="00000000" w:rsidP="00002CFB">
      <w:pPr>
        <w:pStyle w:val="Heading2"/>
        <w:numPr>
          <w:ilvl w:val="0"/>
          <w:numId w:val="10"/>
        </w:numPr>
        <w:rPr>
          <w:rFonts w:ascii="Times New Roman" w:hAnsi="Times New Roman" w:cs="Times New Roman"/>
          <w:sz w:val="24"/>
          <w:szCs w:val="24"/>
        </w:rPr>
      </w:pPr>
      <w:bookmarkStart w:id="29" w:name="_Toc214967420"/>
      <w:bookmarkStart w:id="30" w:name="_Toc215562053"/>
      <w:r w:rsidRPr="00A26293">
        <w:rPr>
          <w:rFonts w:ascii="Times New Roman" w:hAnsi="Times New Roman" w:cs="Times New Roman"/>
          <w:sz w:val="24"/>
          <w:szCs w:val="24"/>
        </w:rPr>
        <w:t>Wirecard (Germany, 2020)</w:t>
      </w:r>
      <w:bookmarkEnd w:id="29"/>
      <w:bookmarkEnd w:id="30"/>
    </w:p>
    <w:p w14:paraId="4AAD8599" w14:textId="34C78B89" w:rsidR="00002CFB" w:rsidRPr="00A26293" w:rsidRDefault="00002CFB" w:rsidP="00002CFB">
      <w:pPr>
        <w:rPr>
          <w:rFonts w:ascii="Times New Roman" w:hAnsi="Times New Roman" w:cs="Times New Roman"/>
          <w:sz w:val="24"/>
          <w:szCs w:val="24"/>
        </w:rPr>
      </w:pPr>
      <w:r w:rsidRPr="00A26293">
        <w:rPr>
          <w:rFonts w:ascii="Times New Roman" w:hAnsi="Times New Roman" w:cs="Times New Roman"/>
          <w:sz w:val="24"/>
          <w:szCs w:val="24"/>
        </w:rPr>
        <w:t>One of Europe’s largest financial scandals. €1.9 billion were discovered to be nonexistent. Regulators failed to act on whistleblower reports. Investors lost billions.</w:t>
      </w:r>
      <w:r w:rsidR="00C17B63" w:rsidRPr="00A26293">
        <w:rPr>
          <w:rFonts w:ascii="Times New Roman" w:hAnsi="Times New Roman" w:cs="Times New Roman"/>
          <w:sz w:val="24"/>
          <w:szCs w:val="24"/>
        </w:rPr>
        <w:t xml:space="preserve"> </w:t>
      </w:r>
      <w:sdt>
        <w:sdtPr>
          <w:rPr>
            <w:rFonts w:ascii="Times New Roman" w:hAnsi="Times New Roman" w:cs="Times New Roman"/>
            <w:sz w:val="24"/>
            <w:szCs w:val="24"/>
          </w:rPr>
          <w:id w:val="-660465789"/>
          <w:citation/>
        </w:sdtPr>
        <w:sdtContent>
          <w:r w:rsidR="00C17B63" w:rsidRPr="00A26293">
            <w:rPr>
              <w:rFonts w:ascii="Times New Roman" w:hAnsi="Times New Roman" w:cs="Times New Roman"/>
              <w:sz w:val="24"/>
              <w:szCs w:val="24"/>
            </w:rPr>
            <w:fldChar w:fldCharType="begin"/>
          </w:r>
          <w:r w:rsidR="00C17B63" w:rsidRPr="00A26293">
            <w:rPr>
              <w:rFonts w:ascii="Times New Roman" w:hAnsi="Times New Roman" w:cs="Times New Roman"/>
              <w:sz w:val="24"/>
              <w:szCs w:val="24"/>
            </w:rPr>
            <w:instrText xml:space="preserve"> CITATION Fin \l 1033 </w:instrText>
          </w:r>
          <w:r w:rsidR="00C17B63" w:rsidRPr="00A26293">
            <w:rPr>
              <w:rFonts w:ascii="Times New Roman" w:hAnsi="Times New Roman" w:cs="Times New Roman"/>
              <w:sz w:val="24"/>
              <w:szCs w:val="24"/>
            </w:rPr>
            <w:fldChar w:fldCharType="separate"/>
          </w:r>
          <w:r w:rsidR="00C06ABD" w:rsidRPr="00A26293">
            <w:rPr>
              <w:rFonts w:ascii="Times New Roman" w:hAnsi="Times New Roman" w:cs="Times New Roman"/>
              <w:noProof/>
              <w:sz w:val="24"/>
              <w:szCs w:val="24"/>
            </w:rPr>
            <w:t>(Times)</w:t>
          </w:r>
          <w:r w:rsidR="00C17B63" w:rsidRPr="00A26293">
            <w:rPr>
              <w:rFonts w:ascii="Times New Roman" w:hAnsi="Times New Roman" w:cs="Times New Roman"/>
              <w:sz w:val="24"/>
              <w:szCs w:val="24"/>
            </w:rPr>
            <w:fldChar w:fldCharType="end"/>
          </w:r>
        </w:sdtContent>
      </w:sdt>
    </w:p>
    <w:p w14:paraId="6B04A8A6" w14:textId="04186194" w:rsidR="007177F2" w:rsidRPr="00A26293" w:rsidRDefault="00000000" w:rsidP="00002CFB">
      <w:pPr>
        <w:pStyle w:val="Heading2"/>
        <w:rPr>
          <w:rFonts w:ascii="Times New Roman" w:hAnsi="Times New Roman" w:cs="Times New Roman"/>
          <w:sz w:val="24"/>
          <w:szCs w:val="24"/>
        </w:rPr>
      </w:pPr>
      <w:bookmarkStart w:id="31" w:name="_Toc214967421"/>
      <w:bookmarkStart w:id="32" w:name="_Toc215562054"/>
      <w:r w:rsidRPr="00A26293">
        <w:rPr>
          <w:rFonts w:ascii="Times New Roman" w:hAnsi="Times New Roman" w:cs="Times New Roman"/>
          <w:sz w:val="24"/>
          <w:szCs w:val="24"/>
        </w:rPr>
        <w:t>2. FTX Collapse (Global, 2022)</w:t>
      </w:r>
      <w:bookmarkEnd w:id="31"/>
      <w:bookmarkEnd w:id="32"/>
    </w:p>
    <w:p w14:paraId="2CC6EB35" w14:textId="684B7966"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FTX commingled customer funds and used them for speculative trading. Due to lack of crypto regulation, investors had little recourse. The failure revealed major gaps in investor protection frameworks for digital assets.</w:t>
      </w:r>
      <w:sdt>
        <w:sdtPr>
          <w:rPr>
            <w:rFonts w:ascii="Times New Roman" w:hAnsi="Times New Roman" w:cs="Times New Roman"/>
            <w:sz w:val="24"/>
            <w:szCs w:val="24"/>
          </w:rPr>
          <w:id w:val="42496345"/>
          <w:citation/>
        </w:sdtPr>
        <w:sdtContent>
          <w:r w:rsidR="00C17B63" w:rsidRPr="00A26293">
            <w:rPr>
              <w:rFonts w:ascii="Times New Roman" w:hAnsi="Times New Roman" w:cs="Times New Roman"/>
              <w:sz w:val="24"/>
              <w:szCs w:val="24"/>
            </w:rPr>
            <w:fldChar w:fldCharType="begin"/>
          </w:r>
          <w:r w:rsidR="00C17B63" w:rsidRPr="00A26293">
            <w:rPr>
              <w:rFonts w:ascii="Times New Roman" w:hAnsi="Times New Roman" w:cs="Times New Roman"/>
              <w:sz w:val="24"/>
              <w:szCs w:val="24"/>
            </w:rPr>
            <w:instrText xml:space="preserve"> CITATION USS \l 1033 </w:instrText>
          </w:r>
          <w:r w:rsidR="00C17B63" w:rsidRPr="00A26293">
            <w:rPr>
              <w:rFonts w:ascii="Times New Roman" w:hAnsi="Times New Roman" w:cs="Times New Roman"/>
              <w:sz w:val="24"/>
              <w:szCs w:val="24"/>
            </w:rPr>
            <w:fldChar w:fldCharType="separate"/>
          </w:r>
          <w:r w:rsidR="00C06ABD" w:rsidRPr="00A26293">
            <w:rPr>
              <w:rFonts w:ascii="Times New Roman" w:hAnsi="Times New Roman" w:cs="Times New Roman"/>
              <w:noProof/>
              <w:sz w:val="24"/>
              <w:szCs w:val="24"/>
            </w:rPr>
            <w:t xml:space="preserve"> ((SEC), n.d.)</w:t>
          </w:r>
          <w:r w:rsidR="00C17B63" w:rsidRPr="00A26293">
            <w:rPr>
              <w:rFonts w:ascii="Times New Roman" w:hAnsi="Times New Roman" w:cs="Times New Roman"/>
              <w:sz w:val="24"/>
              <w:szCs w:val="24"/>
            </w:rPr>
            <w:fldChar w:fldCharType="end"/>
          </w:r>
        </w:sdtContent>
      </w:sdt>
    </w:p>
    <w:p w14:paraId="663A1051" w14:textId="75DE6AB6" w:rsidR="007177F2" w:rsidRPr="00A26293" w:rsidRDefault="00000000" w:rsidP="00002CFB">
      <w:pPr>
        <w:pStyle w:val="Heading2"/>
        <w:rPr>
          <w:rFonts w:ascii="Times New Roman" w:hAnsi="Times New Roman" w:cs="Times New Roman"/>
          <w:sz w:val="24"/>
          <w:szCs w:val="24"/>
        </w:rPr>
      </w:pPr>
      <w:bookmarkStart w:id="33" w:name="_Toc214967422"/>
      <w:bookmarkStart w:id="34" w:name="_Toc215562055"/>
      <w:r w:rsidRPr="00A26293">
        <w:rPr>
          <w:rFonts w:ascii="Times New Roman" w:hAnsi="Times New Roman" w:cs="Times New Roman"/>
          <w:sz w:val="24"/>
          <w:szCs w:val="24"/>
        </w:rPr>
        <w:t xml:space="preserve">3. </w:t>
      </w:r>
      <w:proofErr w:type="spellStart"/>
      <w:r w:rsidRPr="00A26293">
        <w:rPr>
          <w:rFonts w:ascii="Times New Roman" w:hAnsi="Times New Roman" w:cs="Times New Roman"/>
          <w:sz w:val="24"/>
          <w:szCs w:val="24"/>
        </w:rPr>
        <w:t>Archegos</w:t>
      </w:r>
      <w:proofErr w:type="spellEnd"/>
      <w:r w:rsidRPr="00A26293">
        <w:rPr>
          <w:rFonts w:ascii="Times New Roman" w:hAnsi="Times New Roman" w:cs="Times New Roman"/>
          <w:sz w:val="24"/>
          <w:szCs w:val="24"/>
        </w:rPr>
        <w:t xml:space="preserve"> Capital (2021)</w:t>
      </w:r>
      <w:bookmarkEnd w:id="33"/>
      <w:bookmarkEnd w:id="34"/>
    </w:p>
    <w:p w14:paraId="5C90D8E1" w14:textId="31B9E1C1" w:rsidR="007177F2" w:rsidRPr="00A26293" w:rsidRDefault="00000000" w:rsidP="002F6701">
      <w:pPr>
        <w:jc w:val="both"/>
        <w:rPr>
          <w:rFonts w:ascii="Times New Roman" w:hAnsi="Times New Roman" w:cs="Times New Roman"/>
          <w:sz w:val="24"/>
          <w:szCs w:val="24"/>
        </w:rPr>
      </w:pPr>
      <w:proofErr w:type="spellStart"/>
      <w:r w:rsidRPr="00A26293">
        <w:rPr>
          <w:rFonts w:ascii="Times New Roman" w:hAnsi="Times New Roman" w:cs="Times New Roman"/>
          <w:sz w:val="24"/>
          <w:szCs w:val="24"/>
        </w:rPr>
        <w:t>Archegos</w:t>
      </w:r>
      <w:proofErr w:type="spellEnd"/>
      <w:r w:rsidRPr="00A26293">
        <w:rPr>
          <w:rFonts w:ascii="Times New Roman" w:hAnsi="Times New Roman" w:cs="Times New Roman"/>
          <w:sz w:val="24"/>
          <w:szCs w:val="24"/>
        </w:rPr>
        <w:t xml:space="preserve"> hid its true exposure using derivatives, causing over $10 billion in losses to major banks. The scandal exposed limitations in disclosure rules concerning total return swaps and leverage reporting.</w:t>
      </w:r>
      <w:r w:rsidR="00C06ABD" w:rsidRPr="00A26293">
        <w:rPr>
          <w:rFonts w:ascii="Times New Roman" w:hAnsi="Times New Roman" w:cs="Times New Roman"/>
          <w:sz w:val="24"/>
          <w:szCs w:val="24"/>
        </w:rPr>
        <w:t xml:space="preserve"> </w:t>
      </w:r>
      <w:sdt>
        <w:sdtPr>
          <w:rPr>
            <w:rFonts w:ascii="Times New Roman" w:hAnsi="Times New Roman" w:cs="Times New Roman"/>
            <w:sz w:val="24"/>
            <w:szCs w:val="24"/>
          </w:rPr>
          <w:id w:val="1543402608"/>
          <w:citation/>
        </w:sdtPr>
        <w:sdtContent>
          <w:r w:rsidR="00C06ABD" w:rsidRPr="00A26293">
            <w:rPr>
              <w:rFonts w:ascii="Times New Roman" w:hAnsi="Times New Roman" w:cs="Times New Roman"/>
              <w:sz w:val="24"/>
              <w:szCs w:val="24"/>
            </w:rPr>
            <w:fldChar w:fldCharType="begin"/>
          </w:r>
          <w:r w:rsidR="00C06ABD" w:rsidRPr="00A26293">
            <w:rPr>
              <w:rFonts w:ascii="Times New Roman" w:hAnsi="Times New Roman" w:cs="Times New Roman"/>
              <w:sz w:val="24"/>
              <w:szCs w:val="24"/>
            </w:rPr>
            <w:instrText xml:space="preserve"> CITATION Reu \l 1033 </w:instrText>
          </w:r>
          <w:r w:rsidR="00C06ABD" w:rsidRPr="00A26293">
            <w:rPr>
              <w:rFonts w:ascii="Times New Roman" w:hAnsi="Times New Roman" w:cs="Times New Roman"/>
              <w:sz w:val="24"/>
              <w:szCs w:val="24"/>
            </w:rPr>
            <w:fldChar w:fldCharType="separate"/>
          </w:r>
          <w:r w:rsidR="00C06ABD" w:rsidRPr="00A26293">
            <w:rPr>
              <w:rFonts w:ascii="Times New Roman" w:hAnsi="Times New Roman" w:cs="Times New Roman"/>
              <w:noProof/>
              <w:sz w:val="24"/>
              <w:szCs w:val="24"/>
            </w:rPr>
            <w:t>(Reuters, n.d.)</w:t>
          </w:r>
          <w:r w:rsidR="00C06ABD" w:rsidRPr="00A26293">
            <w:rPr>
              <w:rFonts w:ascii="Times New Roman" w:hAnsi="Times New Roman" w:cs="Times New Roman"/>
              <w:sz w:val="24"/>
              <w:szCs w:val="24"/>
            </w:rPr>
            <w:fldChar w:fldCharType="end"/>
          </w:r>
        </w:sdtContent>
      </w:sdt>
    </w:p>
    <w:p w14:paraId="3BDD0754" w14:textId="627744BC" w:rsidR="007177F2" w:rsidRPr="00A26293" w:rsidRDefault="00000000" w:rsidP="00002CFB">
      <w:pPr>
        <w:pStyle w:val="Heading2"/>
        <w:rPr>
          <w:rFonts w:ascii="Times New Roman" w:hAnsi="Times New Roman" w:cs="Times New Roman"/>
          <w:sz w:val="24"/>
          <w:szCs w:val="24"/>
        </w:rPr>
      </w:pPr>
      <w:bookmarkStart w:id="35" w:name="_Toc214967423"/>
      <w:bookmarkStart w:id="36" w:name="_Toc215562056"/>
      <w:r w:rsidRPr="00A26293">
        <w:rPr>
          <w:rFonts w:ascii="Times New Roman" w:hAnsi="Times New Roman" w:cs="Times New Roman"/>
          <w:sz w:val="24"/>
          <w:szCs w:val="24"/>
        </w:rPr>
        <w:t>4. North Macedonian cases</w:t>
      </w:r>
      <w:bookmarkEnd w:id="35"/>
      <w:bookmarkEnd w:id="36"/>
    </w:p>
    <w:p w14:paraId="296F0852" w14:textId="77777777"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Although smaller in scale, the securities market has seen:</w:t>
      </w:r>
    </w:p>
    <w:p w14:paraId="239EED5C" w14:textId="77777777"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 Companies fined for failing to publish financial reports,</w:t>
      </w:r>
    </w:p>
    <w:p w14:paraId="2304A569" w14:textId="77777777"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 Brokers sanctioned for unauthorized transactions,</w:t>
      </w:r>
    </w:p>
    <w:p w14:paraId="044A6F76" w14:textId="77777777"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 Investigations into suspicious trading patterns.</w:t>
      </w:r>
    </w:p>
    <w:p w14:paraId="36A2ABD4" w14:textId="77777777" w:rsidR="007177F2" w:rsidRPr="00A26293" w:rsidRDefault="00000000" w:rsidP="002F6701">
      <w:pPr>
        <w:jc w:val="both"/>
        <w:rPr>
          <w:rFonts w:ascii="Times New Roman" w:hAnsi="Times New Roman" w:cs="Times New Roman"/>
          <w:sz w:val="24"/>
          <w:szCs w:val="24"/>
        </w:rPr>
      </w:pPr>
      <w:r w:rsidRPr="00A26293">
        <w:rPr>
          <w:rFonts w:ascii="Times New Roman" w:hAnsi="Times New Roman" w:cs="Times New Roman"/>
          <w:sz w:val="24"/>
          <w:szCs w:val="24"/>
        </w:rPr>
        <w:t>These demonstrate the importance of continuous supervision.</w:t>
      </w:r>
    </w:p>
    <w:p w14:paraId="3A4A4E03" w14:textId="77777777" w:rsidR="00976DE1" w:rsidRDefault="00976DE1" w:rsidP="002F6701">
      <w:pPr>
        <w:jc w:val="both"/>
      </w:pPr>
    </w:p>
    <w:p w14:paraId="3A9651FF" w14:textId="77777777" w:rsidR="00976DE1" w:rsidRDefault="00976DE1" w:rsidP="002F6701">
      <w:pPr>
        <w:jc w:val="both"/>
      </w:pPr>
    </w:p>
    <w:p w14:paraId="774960BC" w14:textId="77777777" w:rsidR="00976DE1" w:rsidRDefault="00976DE1" w:rsidP="002F6701">
      <w:pPr>
        <w:jc w:val="both"/>
      </w:pPr>
    </w:p>
    <w:p w14:paraId="19A6B311" w14:textId="531BB4AF" w:rsidR="007177F2" w:rsidRPr="00754AA7" w:rsidRDefault="00000000" w:rsidP="00002CFB">
      <w:pPr>
        <w:pStyle w:val="Heading1"/>
        <w:rPr>
          <w:b w:val="0"/>
          <w:bCs w:val="0"/>
        </w:rPr>
      </w:pPr>
      <w:bookmarkStart w:id="37" w:name="_Toc214967424"/>
      <w:bookmarkStart w:id="38" w:name="_Toc215562057"/>
      <w:r w:rsidRPr="00754AA7">
        <w:lastRenderedPageBreak/>
        <w:t>CONCLUSION</w:t>
      </w:r>
      <w:bookmarkEnd w:id="37"/>
      <w:bookmarkEnd w:id="38"/>
    </w:p>
    <w:p w14:paraId="2B305EDB" w14:textId="77777777" w:rsidR="007177F2" w:rsidRDefault="00000000" w:rsidP="002F6701">
      <w:pPr>
        <w:jc w:val="both"/>
      </w:pPr>
      <w:r>
        <w:t xml:space="preserve">Investor protection in the securities market requires a delicate balance between promoting market efficiency and ensuring that dishonest actors cannot exploit investors. North Macedonia’s legal framework is increasingly aligned with EU standards, with strong protections against fraud, insider trading, and manipulation. However, high‑profile international failures—such as Wirecard, FTX, and </w:t>
      </w:r>
      <w:proofErr w:type="spellStart"/>
      <w:r>
        <w:t>Archegos</w:t>
      </w:r>
      <w:proofErr w:type="spellEnd"/>
      <w:r>
        <w:t>—show that even the most advanced systems can fail when supervision is weak or when new financial technologies outpace existing regulation.</w:t>
      </w:r>
    </w:p>
    <w:p w14:paraId="79B3BC90" w14:textId="77777777" w:rsidR="007177F2" w:rsidRDefault="00000000" w:rsidP="002F6701">
      <w:pPr>
        <w:jc w:val="both"/>
      </w:pPr>
      <w:r>
        <w:t>Strengthening protection requires:</w:t>
      </w:r>
    </w:p>
    <w:p w14:paraId="7F55EBAD" w14:textId="77777777" w:rsidR="007177F2" w:rsidRDefault="00000000" w:rsidP="002F6701">
      <w:pPr>
        <w:jc w:val="both"/>
      </w:pPr>
      <w:r>
        <w:t>- Enhanced regulatory independence,</w:t>
      </w:r>
    </w:p>
    <w:p w14:paraId="1E3F465C" w14:textId="77777777" w:rsidR="007177F2" w:rsidRDefault="00000000" w:rsidP="002F6701">
      <w:pPr>
        <w:jc w:val="both"/>
      </w:pPr>
      <w:r>
        <w:t>- Better cross‑border cooperation,</w:t>
      </w:r>
    </w:p>
    <w:p w14:paraId="7C7AEA4B" w14:textId="77777777" w:rsidR="007177F2" w:rsidRDefault="00000000" w:rsidP="002F6701">
      <w:pPr>
        <w:jc w:val="both"/>
      </w:pPr>
      <w:r>
        <w:t>- Stronger enforcement of disclosure rules,</w:t>
      </w:r>
    </w:p>
    <w:p w14:paraId="127B4C44" w14:textId="77777777" w:rsidR="007177F2" w:rsidRDefault="00000000" w:rsidP="002F6701">
      <w:pPr>
        <w:jc w:val="both"/>
      </w:pPr>
      <w:r>
        <w:t>- Regulation of crypto‑assets,</w:t>
      </w:r>
    </w:p>
    <w:p w14:paraId="1F297A7D" w14:textId="77777777" w:rsidR="007177F2" w:rsidRDefault="00000000" w:rsidP="002F6701">
      <w:pPr>
        <w:jc w:val="both"/>
      </w:pPr>
      <w:r>
        <w:t>- Continuous investor education.</w:t>
      </w:r>
    </w:p>
    <w:p w14:paraId="154CC037" w14:textId="77777777" w:rsidR="007177F2" w:rsidRDefault="00000000" w:rsidP="002F6701">
      <w:pPr>
        <w:jc w:val="both"/>
      </w:pPr>
      <w:r>
        <w:t>Only through these measures can markets remain transparent, fair, and trustworthy.</w:t>
      </w:r>
    </w:p>
    <w:p w14:paraId="6911DC98" w14:textId="77777777" w:rsidR="00B1559E" w:rsidRDefault="00B1559E" w:rsidP="002F6701">
      <w:pPr>
        <w:jc w:val="both"/>
      </w:pPr>
    </w:p>
    <w:p w14:paraId="168A26AA" w14:textId="77777777" w:rsidR="00C06ABD" w:rsidRDefault="00C06ABD" w:rsidP="002F6701">
      <w:pPr>
        <w:jc w:val="both"/>
      </w:pPr>
    </w:p>
    <w:p w14:paraId="2FA901A1" w14:textId="77777777" w:rsidR="00C06ABD" w:rsidRDefault="00C06ABD" w:rsidP="002F6701">
      <w:pPr>
        <w:jc w:val="both"/>
      </w:pPr>
    </w:p>
    <w:p w14:paraId="6543E0FD" w14:textId="77777777" w:rsidR="00C06ABD" w:rsidRDefault="00C06ABD" w:rsidP="002F6701">
      <w:pPr>
        <w:jc w:val="both"/>
      </w:pPr>
    </w:p>
    <w:p w14:paraId="4525FAB1" w14:textId="77777777" w:rsidR="00C06ABD" w:rsidRDefault="00C06ABD" w:rsidP="002F6701">
      <w:pPr>
        <w:jc w:val="both"/>
      </w:pPr>
    </w:p>
    <w:p w14:paraId="2A11EB9D" w14:textId="77777777" w:rsidR="00C06ABD" w:rsidRDefault="00C06ABD" w:rsidP="002F6701">
      <w:pPr>
        <w:jc w:val="both"/>
      </w:pPr>
    </w:p>
    <w:p w14:paraId="75470545" w14:textId="77777777" w:rsidR="00C06ABD" w:rsidRDefault="00C06ABD" w:rsidP="002F6701">
      <w:pPr>
        <w:jc w:val="both"/>
      </w:pPr>
    </w:p>
    <w:p w14:paraId="2429DC45" w14:textId="77777777" w:rsidR="00C06ABD" w:rsidRDefault="00C06ABD" w:rsidP="002F6701">
      <w:pPr>
        <w:jc w:val="both"/>
      </w:pPr>
    </w:p>
    <w:p w14:paraId="4FCA12B5" w14:textId="77777777" w:rsidR="00C06ABD" w:rsidRDefault="00C06ABD" w:rsidP="002F6701">
      <w:pPr>
        <w:jc w:val="both"/>
      </w:pPr>
    </w:p>
    <w:p w14:paraId="2D5FCF90" w14:textId="77777777" w:rsidR="00C06ABD" w:rsidRDefault="00C06ABD" w:rsidP="002F6701">
      <w:pPr>
        <w:jc w:val="both"/>
      </w:pPr>
    </w:p>
    <w:p w14:paraId="5AF8E042" w14:textId="77777777" w:rsidR="00C06ABD" w:rsidRDefault="00C06ABD" w:rsidP="002F6701">
      <w:pPr>
        <w:jc w:val="both"/>
      </w:pPr>
    </w:p>
    <w:p w14:paraId="2132BF56" w14:textId="77777777" w:rsidR="00C06ABD" w:rsidRDefault="00C06ABD" w:rsidP="002F6701">
      <w:pPr>
        <w:jc w:val="both"/>
      </w:pPr>
    </w:p>
    <w:p w14:paraId="166BE6B0" w14:textId="77777777" w:rsidR="00B1559E" w:rsidRDefault="00B1559E" w:rsidP="002F6701">
      <w:pPr>
        <w:jc w:val="both"/>
      </w:pPr>
    </w:p>
    <w:p w14:paraId="25D68C74" w14:textId="77777777" w:rsidR="00B1559E" w:rsidRDefault="00B1559E" w:rsidP="002F6701">
      <w:pPr>
        <w:jc w:val="both"/>
      </w:pPr>
    </w:p>
    <w:bookmarkStart w:id="39" w:name="_Toc215562058" w:displacedByCustomXml="next"/>
    <w:sdt>
      <w:sdtPr>
        <w:rPr>
          <w:rFonts w:asciiTheme="minorHAnsi" w:eastAsiaTheme="minorEastAsia" w:hAnsiTheme="minorHAnsi" w:cstheme="minorBidi"/>
          <w:b w:val="0"/>
          <w:bCs w:val="0"/>
          <w:color w:val="auto"/>
          <w:sz w:val="22"/>
          <w:szCs w:val="22"/>
        </w:rPr>
        <w:id w:val="-273173142"/>
        <w:docPartObj>
          <w:docPartGallery w:val="Bibliographies"/>
          <w:docPartUnique/>
        </w:docPartObj>
      </w:sdtPr>
      <w:sdtContent>
        <w:p w14:paraId="00348D84" w14:textId="07EF0696" w:rsidR="00C06ABD" w:rsidRDefault="00C06ABD">
          <w:pPr>
            <w:pStyle w:val="Heading1"/>
          </w:pPr>
          <w:r>
            <w:t>References</w:t>
          </w:r>
          <w:bookmarkEnd w:id="39"/>
        </w:p>
        <w:sdt>
          <w:sdtPr>
            <w:id w:val="-573587230"/>
            <w:bibliography/>
          </w:sdtPr>
          <w:sdtContent>
            <w:p w14:paraId="11B03730" w14:textId="77777777" w:rsidR="00C06ABD" w:rsidRDefault="00C06ABD" w:rsidP="00C06ABD">
              <w:pPr>
                <w:pStyle w:val="Bibliography"/>
                <w:ind w:left="720" w:hanging="720"/>
                <w:rPr>
                  <w:noProof/>
                  <w:sz w:val="24"/>
                  <w:szCs w:val="24"/>
                </w:rPr>
              </w:pPr>
              <w:r>
                <w:fldChar w:fldCharType="begin"/>
              </w:r>
              <w:r>
                <w:instrText xml:space="preserve"> BIBLIOGRAPHY </w:instrText>
              </w:r>
              <w:r>
                <w:fldChar w:fldCharType="separate"/>
              </w:r>
              <w:r>
                <w:rPr>
                  <w:noProof/>
                </w:rPr>
                <w:t xml:space="preserve">(ESMA), E. S. (n.d.). </w:t>
              </w:r>
              <w:r>
                <w:rPr>
                  <w:i/>
                  <w:iCs/>
                  <w:noProof/>
                </w:rPr>
                <w:t>ESMA, Interactive Single Rulebook, “MiFID II / MiFIR”.</w:t>
              </w:r>
              <w:r>
                <w:rPr>
                  <w:noProof/>
                </w:rPr>
                <w:t xml:space="preserve"> Retrieved from Interactive Single Rulebook.</w:t>
              </w:r>
            </w:p>
            <w:p w14:paraId="3041EAC7" w14:textId="77777777" w:rsidR="00C06ABD" w:rsidRDefault="00C06ABD" w:rsidP="00C06ABD">
              <w:pPr>
                <w:pStyle w:val="Bibliography"/>
                <w:ind w:left="720" w:hanging="720"/>
                <w:rPr>
                  <w:noProof/>
                </w:rPr>
              </w:pPr>
              <w:r>
                <w:rPr>
                  <w:noProof/>
                </w:rPr>
                <w:t xml:space="preserve">(SEC), U. S. (n.d.). </w:t>
              </w:r>
              <w:r>
                <w:rPr>
                  <w:i/>
                  <w:iCs/>
                  <w:noProof/>
                </w:rPr>
                <w:t>SEC Charges FTX and Sam Bankman-Fried with Fraud</w:t>
              </w:r>
              <w:r>
                <w:rPr>
                  <w:noProof/>
                </w:rPr>
                <w:t>.</w:t>
              </w:r>
            </w:p>
            <w:p w14:paraId="6BD8B2ED" w14:textId="77777777" w:rsidR="00C06ABD" w:rsidRDefault="00C06ABD" w:rsidP="00C06ABD">
              <w:pPr>
                <w:pStyle w:val="Bibliography"/>
                <w:ind w:left="720" w:hanging="720"/>
                <w:rPr>
                  <w:noProof/>
                </w:rPr>
              </w:pPr>
              <w:r>
                <w:rPr>
                  <w:noProof/>
                </w:rPr>
                <w:t xml:space="preserve">19, A. (n.d.). </w:t>
              </w:r>
              <w:r>
                <w:rPr>
                  <w:i/>
                  <w:iCs/>
                  <w:noProof/>
                </w:rPr>
                <w:t>International Standards on the Right to Information.</w:t>
              </w:r>
              <w:r>
                <w:rPr>
                  <w:noProof/>
                </w:rPr>
                <w:t xml:space="preserve"> </w:t>
              </w:r>
            </w:p>
            <w:p w14:paraId="735517BE" w14:textId="77777777" w:rsidR="00C06ABD" w:rsidRDefault="00C06ABD" w:rsidP="00C06ABD">
              <w:pPr>
                <w:pStyle w:val="Bibliography"/>
                <w:ind w:left="720" w:hanging="720"/>
                <w:rPr>
                  <w:noProof/>
                </w:rPr>
              </w:pPr>
              <w:r>
                <w:rPr>
                  <w:noProof/>
                </w:rPr>
                <w:t xml:space="preserve">Comissions, I. O. (2017 ). </w:t>
              </w:r>
              <w:r>
                <w:rPr>
                  <w:i/>
                  <w:iCs/>
                  <w:noProof/>
                </w:rPr>
                <w:t>Objective and Principles of securities Regulation .</w:t>
              </w:r>
              <w:r>
                <w:rPr>
                  <w:noProof/>
                </w:rPr>
                <w:t xml:space="preserve"> </w:t>
              </w:r>
            </w:p>
            <w:p w14:paraId="227CD8B9" w14:textId="77777777" w:rsidR="00C06ABD" w:rsidRDefault="00C06ABD" w:rsidP="00C06ABD">
              <w:pPr>
                <w:pStyle w:val="Bibliography"/>
                <w:ind w:left="720" w:hanging="720"/>
                <w:rPr>
                  <w:noProof/>
                </w:rPr>
              </w:pPr>
              <w:r>
                <w:rPr>
                  <w:noProof/>
                </w:rPr>
                <w:t xml:space="preserve">ESMA, E. U. (n.d.). </w:t>
              </w:r>
              <w:r>
                <w:rPr>
                  <w:i/>
                  <w:iCs/>
                  <w:noProof/>
                </w:rPr>
                <w:t>Directive 2014/65/EU on Markets in Financial Instruments (MiFID II) / Regulation (EU) No 600/2014 (MiFIR) / ESMA Guidelines on MiFID II.</w:t>
              </w:r>
              <w:r>
                <w:rPr>
                  <w:noProof/>
                </w:rPr>
                <w:t xml:space="preserve"> Official Journal of the European Union / ESMA.</w:t>
              </w:r>
            </w:p>
            <w:p w14:paraId="2A92FF0F" w14:textId="77777777" w:rsidR="00C06ABD" w:rsidRDefault="00C06ABD" w:rsidP="00C06ABD">
              <w:pPr>
                <w:pStyle w:val="Bibliography"/>
                <w:ind w:left="720" w:hanging="720"/>
                <w:rPr>
                  <w:noProof/>
                </w:rPr>
              </w:pPr>
              <w:r>
                <w:rPr>
                  <w:noProof/>
                </w:rPr>
                <w:t xml:space="preserve">Macedoni, S. a. (n.d.). </w:t>
              </w:r>
              <w:r>
                <w:rPr>
                  <w:i/>
                  <w:iCs/>
                  <w:noProof/>
                </w:rPr>
                <w:t>Law on Securities and Exchange .</w:t>
              </w:r>
              <w:r>
                <w:rPr>
                  <w:noProof/>
                </w:rPr>
                <w:t xml:space="preserve"> Official Gazette of RM.</w:t>
              </w:r>
            </w:p>
            <w:p w14:paraId="644FB1B9" w14:textId="77777777" w:rsidR="00C06ABD" w:rsidRDefault="00C06ABD" w:rsidP="00C06ABD">
              <w:pPr>
                <w:pStyle w:val="Bibliography"/>
                <w:ind w:left="720" w:hanging="720"/>
                <w:rPr>
                  <w:noProof/>
                </w:rPr>
              </w:pPr>
              <w:r>
                <w:rPr>
                  <w:noProof/>
                </w:rPr>
                <w:t xml:space="preserve">Reuters. (n.d.). </w:t>
              </w:r>
              <w:r>
                <w:rPr>
                  <w:i/>
                  <w:iCs/>
                  <w:noProof/>
                </w:rPr>
                <w:t>Archegos Capital: How $10 billion vanished</w:t>
              </w:r>
              <w:r>
                <w:rPr>
                  <w:noProof/>
                </w:rPr>
                <w:t>.</w:t>
              </w:r>
            </w:p>
            <w:p w14:paraId="6061E6CA" w14:textId="77777777" w:rsidR="00C06ABD" w:rsidRDefault="00C06ABD" w:rsidP="00C06ABD">
              <w:pPr>
                <w:pStyle w:val="Bibliography"/>
                <w:ind w:left="720" w:hanging="720"/>
                <w:rPr>
                  <w:noProof/>
                </w:rPr>
              </w:pPr>
              <w:r>
                <w:rPr>
                  <w:noProof/>
                </w:rPr>
                <w:t xml:space="preserve">Times, F. (n.d.). </w:t>
              </w:r>
              <w:r>
                <w:rPr>
                  <w:i/>
                  <w:iCs/>
                  <w:noProof/>
                </w:rPr>
                <w:t>Wirecard: the timeline of Germany’s biggest financial scandal.</w:t>
              </w:r>
              <w:r>
                <w:rPr>
                  <w:noProof/>
                </w:rPr>
                <w:t xml:space="preserve"> Retrieved from Financial Times.</w:t>
              </w:r>
            </w:p>
            <w:p w14:paraId="26DFB265" w14:textId="77777777" w:rsidR="00C06ABD" w:rsidRDefault="00C06ABD" w:rsidP="00C06ABD">
              <w:pPr>
                <w:pStyle w:val="Bibliography"/>
                <w:ind w:left="720" w:hanging="720"/>
                <w:rPr>
                  <w:noProof/>
                </w:rPr>
              </w:pPr>
              <w:r>
                <w:rPr>
                  <w:noProof/>
                </w:rPr>
                <w:t xml:space="preserve">union, E. (2025). </w:t>
              </w:r>
              <w:r>
                <w:rPr>
                  <w:i/>
                  <w:iCs/>
                  <w:noProof/>
                </w:rPr>
                <w:t>EU market regulation .</w:t>
              </w:r>
              <w:r>
                <w:rPr>
                  <w:noProof/>
                </w:rPr>
                <w:t xml:space="preserve"> Strasburg: EU.</w:t>
              </w:r>
            </w:p>
            <w:p w14:paraId="6ECB8C74" w14:textId="77777777" w:rsidR="00C06ABD" w:rsidRDefault="00C06ABD" w:rsidP="00C06ABD">
              <w:pPr>
                <w:pStyle w:val="Bibliography"/>
                <w:ind w:left="720" w:hanging="720"/>
                <w:rPr>
                  <w:noProof/>
                </w:rPr>
              </w:pPr>
              <w:r>
                <w:rPr>
                  <w:noProof/>
                </w:rPr>
                <w:t xml:space="preserve">Union, E. (n.d.). </w:t>
              </w:r>
              <w:r>
                <w:rPr>
                  <w:i/>
                  <w:iCs/>
                  <w:noProof/>
                </w:rPr>
                <w:t>Directive 2014/65/EU on Markets in Financial Instruments (MiFID II).</w:t>
              </w:r>
              <w:r>
                <w:rPr>
                  <w:noProof/>
                </w:rPr>
                <w:t xml:space="preserve"> Brussel: Official Journal of the European Union.</w:t>
              </w:r>
            </w:p>
            <w:p w14:paraId="11D82E16" w14:textId="77777777" w:rsidR="00C06ABD" w:rsidRDefault="00C06ABD" w:rsidP="00C06ABD">
              <w:pPr>
                <w:pStyle w:val="Bibliography"/>
                <w:ind w:left="720" w:hanging="720"/>
                <w:rPr>
                  <w:noProof/>
                </w:rPr>
              </w:pPr>
              <w:r>
                <w:rPr>
                  <w:noProof/>
                </w:rPr>
                <w:t xml:space="preserve">Union, E. (n.d.). </w:t>
              </w:r>
              <w:r>
                <w:rPr>
                  <w:i/>
                  <w:iCs/>
                  <w:noProof/>
                </w:rPr>
                <w:t>European Union — Market Abuse Regulation (MAR), Regulation (EU) No 596/2014.</w:t>
              </w:r>
              <w:r>
                <w:rPr>
                  <w:noProof/>
                </w:rPr>
                <w:t xml:space="preserve"> Brussels: Official Journal of the European Union.</w:t>
              </w:r>
            </w:p>
            <w:p w14:paraId="2D6CC3DB" w14:textId="77777777" w:rsidR="00C06ABD" w:rsidRDefault="00C06ABD" w:rsidP="00C06ABD">
              <w:pPr>
                <w:pStyle w:val="Bibliography"/>
                <w:ind w:left="720" w:hanging="720"/>
                <w:rPr>
                  <w:noProof/>
                </w:rPr>
              </w:pPr>
              <w:r>
                <w:rPr>
                  <w:noProof/>
                </w:rPr>
                <w:t xml:space="preserve">Union, E. (n.d.). </w:t>
              </w:r>
              <w:r>
                <w:rPr>
                  <w:i/>
                  <w:iCs/>
                  <w:noProof/>
                </w:rPr>
                <w:t>Regulation (EU) No 596/2014 on Market Abuse (Market Abuse Regulation — MAR).</w:t>
              </w:r>
              <w:r>
                <w:rPr>
                  <w:noProof/>
                </w:rPr>
                <w:t xml:space="preserve"> Official Journal of the European Union.</w:t>
              </w:r>
            </w:p>
            <w:p w14:paraId="40A2756F" w14:textId="77777777" w:rsidR="00C06ABD" w:rsidRDefault="00C06ABD" w:rsidP="00C06ABD">
              <w:pPr>
                <w:pStyle w:val="Bibliography"/>
                <w:ind w:left="720" w:hanging="720"/>
                <w:rPr>
                  <w:noProof/>
                </w:rPr>
              </w:pPr>
              <w:r>
                <w:rPr>
                  <w:noProof/>
                </w:rPr>
                <w:t xml:space="preserve">Union, O. J. (n.d.). </w:t>
              </w:r>
              <w:r>
                <w:rPr>
                  <w:i/>
                  <w:iCs/>
                  <w:noProof/>
                </w:rPr>
                <w:t>Directive 2014/65/EU on Markets in Financial Instruments (MiFID II).</w:t>
              </w:r>
              <w:r>
                <w:rPr>
                  <w:noProof/>
                </w:rPr>
                <w:t xml:space="preserve"> European Union.</w:t>
              </w:r>
            </w:p>
            <w:p w14:paraId="0C68220A" w14:textId="3EFA80EA" w:rsidR="007177F2" w:rsidRDefault="00C06ABD" w:rsidP="00946B4E">
              <w:r>
                <w:rPr>
                  <w:b/>
                  <w:bCs/>
                  <w:noProof/>
                </w:rPr>
                <w:fldChar w:fldCharType="end"/>
              </w:r>
            </w:p>
          </w:sdtContent>
        </w:sdt>
      </w:sdtContent>
    </w:sdt>
    <w:sectPr w:rsidR="007177F2"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2954" w14:textId="77777777" w:rsidR="00CF3B43" w:rsidRDefault="00CF3B43" w:rsidP="00002CFB">
      <w:pPr>
        <w:spacing w:after="0" w:line="240" w:lineRule="auto"/>
      </w:pPr>
      <w:r>
        <w:separator/>
      </w:r>
    </w:p>
  </w:endnote>
  <w:endnote w:type="continuationSeparator" w:id="0">
    <w:p w14:paraId="6AA97D3B" w14:textId="77777777" w:rsidR="00CF3B43" w:rsidRDefault="00CF3B43" w:rsidP="0000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B7C8" w14:textId="77777777" w:rsidR="00CF3B43" w:rsidRDefault="00CF3B43" w:rsidP="00002CFB">
      <w:pPr>
        <w:spacing w:after="0" w:line="240" w:lineRule="auto"/>
      </w:pPr>
      <w:r>
        <w:separator/>
      </w:r>
    </w:p>
  </w:footnote>
  <w:footnote w:type="continuationSeparator" w:id="0">
    <w:p w14:paraId="0BD3872C" w14:textId="77777777" w:rsidR="00CF3B43" w:rsidRDefault="00CF3B43" w:rsidP="00002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09E5BF6"/>
    <w:multiLevelType w:val="hybridMultilevel"/>
    <w:tmpl w:val="55225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456256">
    <w:abstractNumId w:val="8"/>
  </w:num>
  <w:num w:numId="2" w16cid:durableId="150411968">
    <w:abstractNumId w:val="6"/>
  </w:num>
  <w:num w:numId="3" w16cid:durableId="537622367">
    <w:abstractNumId w:val="5"/>
  </w:num>
  <w:num w:numId="4" w16cid:durableId="1852378859">
    <w:abstractNumId w:val="4"/>
  </w:num>
  <w:num w:numId="5" w16cid:durableId="468933984">
    <w:abstractNumId w:val="7"/>
  </w:num>
  <w:num w:numId="6" w16cid:durableId="809398010">
    <w:abstractNumId w:val="3"/>
  </w:num>
  <w:num w:numId="7" w16cid:durableId="457376377">
    <w:abstractNumId w:val="2"/>
  </w:num>
  <w:num w:numId="8" w16cid:durableId="1321157865">
    <w:abstractNumId w:val="1"/>
  </w:num>
  <w:num w:numId="9" w16cid:durableId="1238593121">
    <w:abstractNumId w:val="0"/>
  </w:num>
  <w:num w:numId="10" w16cid:durableId="298189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CFB"/>
    <w:rsid w:val="00034616"/>
    <w:rsid w:val="0006063C"/>
    <w:rsid w:val="0009735E"/>
    <w:rsid w:val="001103F8"/>
    <w:rsid w:val="0012582B"/>
    <w:rsid w:val="0015074B"/>
    <w:rsid w:val="001A62BA"/>
    <w:rsid w:val="0029449B"/>
    <w:rsid w:val="0029639D"/>
    <w:rsid w:val="002F6701"/>
    <w:rsid w:val="00326F90"/>
    <w:rsid w:val="003B6500"/>
    <w:rsid w:val="003D66C8"/>
    <w:rsid w:val="003F468D"/>
    <w:rsid w:val="00414AD0"/>
    <w:rsid w:val="00421818"/>
    <w:rsid w:val="0044314E"/>
    <w:rsid w:val="004F1A92"/>
    <w:rsid w:val="00540532"/>
    <w:rsid w:val="005A16AD"/>
    <w:rsid w:val="005D503C"/>
    <w:rsid w:val="00613B6A"/>
    <w:rsid w:val="0068266D"/>
    <w:rsid w:val="0068448C"/>
    <w:rsid w:val="006E51C3"/>
    <w:rsid w:val="006E5536"/>
    <w:rsid w:val="007177F2"/>
    <w:rsid w:val="0073313F"/>
    <w:rsid w:val="00754AA7"/>
    <w:rsid w:val="0077410E"/>
    <w:rsid w:val="00795C87"/>
    <w:rsid w:val="007A60D8"/>
    <w:rsid w:val="00861F12"/>
    <w:rsid w:val="008B6733"/>
    <w:rsid w:val="0090146D"/>
    <w:rsid w:val="00946B4E"/>
    <w:rsid w:val="00976DE1"/>
    <w:rsid w:val="009A16CF"/>
    <w:rsid w:val="009B0566"/>
    <w:rsid w:val="009B4031"/>
    <w:rsid w:val="009D5A38"/>
    <w:rsid w:val="009E0BBC"/>
    <w:rsid w:val="00A203AA"/>
    <w:rsid w:val="00A26293"/>
    <w:rsid w:val="00A34460"/>
    <w:rsid w:val="00A70C70"/>
    <w:rsid w:val="00AA1D8D"/>
    <w:rsid w:val="00AD0E5A"/>
    <w:rsid w:val="00B1559E"/>
    <w:rsid w:val="00B47730"/>
    <w:rsid w:val="00B547E5"/>
    <w:rsid w:val="00B93A63"/>
    <w:rsid w:val="00BB7866"/>
    <w:rsid w:val="00BD7F66"/>
    <w:rsid w:val="00C06ABD"/>
    <w:rsid w:val="00C17B63"/>
    <w:rsid w:val="00CB0664"/>
    <w:rsid w:val="00CF3B43"/>
    <w:rsid w:val="00D062C0"/>
    <w:rsid w:val="00D44135"/>
    <w:rsid w:val="00D80E91"/>
    <w:rsid w:val="00DB08F5"/>
    <w:rsid w:val="00E82CD7"/>
    <w:rsid w:val="00F11F8E"/>
    <w:rsid w:val="00F77F76"/>
    <w:rsid w:val="00F85F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0B576"/>
  <w14:defaultImageDpi w14:val="300"/>
  <w15:docId w15:val="{3D116CF8-D5FA-4F38-99E3-D2DC5837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002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CFB"/>
    <w:rPr>
      <w:sz w:val="20"/>
      <w:szCs w:val="20"/>
    </w:rPr>
  </w:style>
  <w:style w:type="character" w:styleId="FootnoteReference">
    <w:name w:val="footnote reference"/>
    <w:basedOn w:val="DefaultParagraphFont"/>
    <w:uiPriority w:val="99"/>
    <w:semiHidden/>
    <w:unhideWhenUsed/>
    <w:rsid w:val="00002CFB"/>
    <w:rPr>
      <w:vertAlign w:val="superscript"/>
    </w:rPr>
  </w:style>
  <w:style w:type="paragraph" w:styleId="TOC1">
    <w:name w:val="toc 1"/>
    <w:basedOn w:val="Normal"/>
    <w:next w:val="Normal"/>
    <w:autoRedefine/>
    <w:uiPriority w:val="39"/>
    <w:unhideWhenUsed/>
    <w:rsid w:val="00002CFB"/>
    <w:pPr>
      <w:spacing w:after="100"/>
    </w:pPr>
  </w:style>
  <w:style w:type="paragraph" w:styleId="TOC2">
    <w:name w:val="toc 2"/>
    <w:basedOn w:val="Normal"/>
    <w:next w:val="Normal"/>
    <w:autoRedefine/>
    <w:uiPriority w:val="39"/>
    <w:unhideWhenUsed/>
    <w:rsid w:val="00002CFB"/>
    <w:pPr>
      <w:spacing w:after="100"/>
      <w:ind w:left="220"/>
    </w:pPr>
  </w:style>
  <w:style w:type="character" w:styleId="Hyperlink">
    <w:name w:val="Hyperlink"/>
    <w:basedOn w:val="DefaultParagraphFont"/>
    <w:uiPriority w:val="99"/>
    <w:unhideWhenUsed/>
    <w:rsid w:val="00002CFB"/>
    <w:rPr>
      <w:color w:val="0000FF" w:themeColor="hyperlink"/>
      <w:u w:val="single"/>
    </w:rPr>
  </w:style>
  <w:style w:type="character" w:styleId="LineNumber">
    <w:name w:val="line number"/>
    <w:basedOn w:val="DefaultParagraphFont"/>
    <w:uiPriority w:val="99"/>
    <w:semiHidden/>
    <w:unhideWhenUsed/>
    <w:rsid w:val="00F11F8E"/>
  </w:style>
  <w:style w:type="paragraph" w:styleId="EndnoteText">
    <w:name w:val="endnote text"/>
    <w:basedOn w:val="Normal"/>
    <w:link w:val="EndnoteTextChar"/>
    <w:uiPriority w:val="99"/>
    <w:semiHidden/>
    <w:unhideWhenUsed/>
    <w:rsid w:val="00C06A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6ABD"/>
    <w:rPr>
      <w:sz w:val="20"/>
      <w:szCs w:val="20"/>
    </w:rPr>
  </w:style>
  <w:style w:type="character" w:styleId="EndnoteReference">
    <w:name w:val="endnote reference"/>
    <w:basedOn w:val="DefaultParagraphFont"/>
    <w:uiPriority w:val="99"/>
    <w:semiHidden/>
    <w:unhideWhenUsed/>
    <w:rsid w:val="00C06ABD"/>
    <w:rPr>
      <w:vertAlign w:val="superscript"/>
    </w:rPr>
  </w:style>
  <w:style w:type="paragraph" w:styleId="Bibliography">
    <w:name w:val="Bibliography"/>
    <w:basedOn w:val="Normal"/>
    <w:next w:val="Normal"/>
    <w:uiPriority w:val="37"/>
    <w:unhideWhenUsed/>
    <w:rsid w:val="00C06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876">
      <w:bodyDiv w:val="1"/>
      <w:marLeft w:val="0"/>
      <w:marRight w:val="0"/>
      <w:marTop w:val="0"/>
      <w:marBottom w:val="0"/>
      <w:divBdr>
        <w:top w:val="none" w:sz="0" w:space="0" w:color="auto"/>
        <w:left w:val="none" w:sz="0" w:space="0" w:color="auto"/>
        <w:bottom w:val="none" w:sz="0" w:space="0" w:color="auto"/>
        <w:right w:val="none" w:sz="0" w:space="0" w:color="auto"/>
      </w:divBdr>
    </w:div>
    <w:div w:id="26490059">
      <w:bodyDiv w:val="1"/>
      <w:marLeft w:val="0"/>
      <w:marRight w:val="0"/>
      <w:marTop w:val="0"/>
      <w:marBottom w:val="0"/>
      <w:divBdr>
        <w:top w:val="none" w:sz="0" w:space="0" w:color="auto"/>
        <w:left w:val="none" w:sz="0" w:space="0" w:color="auto"/>
        <w:bottom w:val="none" w:sz="0" w:space="0" w:color="auto"/>
        <w:right w:val="none" w:sz="0" w:space="0" w:color="auto"/>
      </w:divBdr>
    </w:div>
    <w:div w:id="67266286">
      <w:bodyDiv w:val="1"/>
      <w:marLeft w:val="0"/>
      <w:marRight w:val="0"/>
      <w:marTop w:val="0"/>
      <w:marBottom w:val="0"/>
      <w:divBdr>
        <w:top w:val="none" w:sz="0" w:space="0" w:color="auto"/>
        <w:left w:val="none" w:sz="0" w:space="0" w:color="auto"/>
        <w:bottom w:val="none" w:sz="0" w:space="0" w:color="auto"/>
        <w:right w:val="none" w:sz="0" w:space="0" w:color="auto"/>
      </w:divBdr>
    </w:div>
    <w:div w:id="136731398">
      <w:bodyDiv w:val="1"/>
      <w:marLeft w:val="0"/>
      <w:marRight w:val="0"/>
      <w:marTop w:val="0"/>
      <w:marBottom w:val="0"/>
      <w:divBdr>
        <w:top w:val="none" w:sz="0" w:space="0" w:color="auto"/>
        <w:left w:val="none" w:sz="0" w:space="0" w:color="auto"/>
        <w:bottom w:val="none" w:sz="0" w:space="0" w:color="auto"/>
        <w:right w:val="none" w:sz="0" w:space="0" w:color="auto"/>
      </w:divBdr>
    </w:div>
    <w:div w:id="137961404">
      <w:bodyDiv w:val="1"/>
      <w:marLeft w:val="0"/>
      <w:marRight w:val="0"/>
      <w:marTop w:val="0"/>
      <w:marBottom w:val="0"/>
      <w:divBdr>
        <w:top w:val="none" w:sz="0" w:space="0" w:color="auto"/>
        <w:left w:val="none" w:sz="0" w:space="0" w:color="auto"/>
        <w:bottom w:val="none" w:sz="0" w:space="0" w:color="auto"/>
        <w:right w:val="none" w:sz="0" w:space="0" w:color="auto"/>
      </w:divBdr>
    </w:div>
    <w:div w:id="144785165">
      <w:bodyDiv w:val="1"/>
      <w:marLeft w:val="0"/>
      <w:marRight w:val="0"/>
      <w:marTop w:val="0"/>
      <w:marBottom w:val="0"/>
      <w:divBdr>
        <w:top w:val="none" w:sz="0" w:space="0" w:color="auto"/>
        <w:left w:val="none" w:sz="0" w:space="0" w:color="auto"/>
        <w:bottom w:val="none" w:sz="0" w:space="0" w:color="auto"/>
        <w:right w:val="none" w:sz="0" w:space="0" w:color="auto"/>
      </w:divBdr>
    </w:div>
    <w:div w:id="147795395">
      <w:bodyDiv w:val="1"/>
      <w:marLeft w:val="0"/>
      <w:marRight w:val="0"/>
      <w:marTop w:val="0"/>
      <w:marBottom w:val="0"/>
      <w:divBdr>
        <w:top w:val="none" w:sz="0" w:space="0" w:color="auto"/>
        <w:left w:val="none" w:sz="0" w:space="0" w:color="auto"/>
        <w:bottom w:val="none" w:sz="0" w:space="0" w:color="auto"/>
        <w:right w:val="none" w:sz="0" w:space="0" w:color="auto"/>
      </w:divBdr>
    </w:div>
    <w:div w:id="153490939">
      <w:bodyDiv w:val="1"/>
      <w:marLeft w:val="0"/>
      <w:marRight w:val="0"/>
      <w:marTop w:val="0"/>
      <w:marBottom w:val="0"/>
      <w:divBdr>
        <w:top w:val="none" w:sz="0" w:space="0" w:color="auto"/>
        <w:left w:val="none" w:sz="0" w:space="0" w:color="auto"/>
        <w:bottom w:val="none" w:sz="0" w:space="0" w:color="auto"/>
        <w:right w:val="none" w:sz="0" w:space="0" w:color="auto"/>
      </w:divBdr>
    </w:div>
    <w:div w:id="213933424">
      <w:bodyDiv w:val="1"/>
      <w:marLeft w:val="0"/>
      <w:marRight w:val="0"/>
      <w:marTop w:val="0"/>
      <w:marBottom w:val="0"/>
      <w:divBdr>
        <w:top w:val="none" w:sz="0" w:space="0" w:color="auto"/>
        <w:left w:val="none" w:sz="0" w:space="0" w:color="auto"/>
        <w:bottom w:val="none" w:sz="0" w:space="0" w:color="auto"/>
        <w:right w:val="none" w:sz="0" w:space="0" w:color="auto"/>
      </w:divBdr>
    </w:div>
    <w:div w:id="217521531">
      <w:bodyDiv w:val="1"/>
      <w:marLeft w:val="0"/>
      <w:marRight w:val="0"/>
      <w:marTop w:val="0"/>
      <w:marBottom w:val="0"/>
      <w:divBdr>
        <w:top w:val="none" w:sz="0" w:space="0" w:color="auto"/>
        <w:left w:val="none" w:sz="0" w:space="0" w:color="auto"/>
        <w:bottom w:val="none" w:sz="0" w:space="0" w:color="auto"/>
        <w:right w:val="none" w:sz="0" w:space="0" w:color="auto"/>
      </w:divBdr>
    </w:div>
    <w:div w:id="250160582">
      <w:bodyDiv w:val="1"/>
      <w:marLeft w:val="0"/>
      <w:marRight w:val="0"/>
      <w:marTop w:val="0"/>
      <w:marBottom w:val="0"/>
      <w:divBdr>
        <w:top w:val="none" w:sz="0" w:space="0" w:color="auto"/>
        <w:left w:val="none" w:sz="0" w:space="0" w:color="auto"/>
        <w:bottom w:val="none" w:sz="0" w:space="0" w:color="auto"/>
        <w:right w:val="none" w:sz="0" w:space="0" w:color="auto"/>
      </w:divBdr>
    </w:div>
    <w:div w:id="264190109">
      <w:bodyDiv w:val="1"/>
      <w:marLeft w:val="0"/>
      <w:marRight w:val="0"/>
      <w:marTop w:val="0"/>
      <w:marBottom w:val="0"/>
      <w:divBdr>
        <w:top w:val="none" w:sz="0" w:space="0" w:color="auto"/>
        <w:left w:val="none" w:sz="0" w:space="0" w:color="auto"/>
        <w:bottom w:val="none" w:sz="0" w:space="0" w:color="auto"/>
        <w:right w:val="none" w:sz="0" w:space="0" w:color="auto"/>
      </w:divBdr>
    </w:div>
    <w:div w:id="272324720">
      <w:bodyDiv w:val="1"/>
      <w:marLeft w:val="0"/>
      <w:marRight w:val="0"/>
      <w:marTop w:val="0"/>
      <w:marBottom w:val="0"/>
      <w:divBdr>
        <w:top w:val="none" w:sz="0" w:space="0" w:color="auto"/>
        <w:left w:val="none" w:sz="0" w:space="0" w:color="auto"/>
        <w:bottom w:val="none" w:sz="0" w:space="0" w:color="auto"/>
        <w:right w:val="none" w:sz="0" w:space="0" w:color="auto"/>
      </w:divBdr>
    </w:div>
    <w:div w:id="288970817">
      <w:bodyDiv w:val="1"/>
      <w:marLeft w:val="0"/>
      <w:marRight w:val="0"/>
      <w:marTop w:val="0"/>
      <w:marBottom w:val="0"/>
      <w:divBdr>
        <w:top w:val="none" w:sz="0" w:space="0" w:color="auto"/>
        <w:left w:val="none" w:sz="0" w:space="0" w:color="auto"/>
        <w:bottom w:val="none" w:sz="0" w:space="0" w:color="auto"/>
        <w:right w:val="none" w:sz="0" w:space="0" w:color="auto"/>
      </w:divBdr>
    </w:div>
    <w:div w:id="319895589">
      <w:bodyDiv w:val="1"/>
      <w:marLeft w:val="0"/>
      <w:marRight w:val="0"/>
      <w:marTop w:val="0"/>
      <w:marBottom w:val="0"/>
      <w:divBdr>
        <w:top w:val="none" w:sz="0" w:space="0" w:color="auto"/>
        <w:left w:val="none" w:sz="0" w:space="0" w:color="auto"/>
        <w:bottom w:val="none" w:sz="0" w:space="0" w:color="auto"/>
        <w:right w:val="none" w:sz="0" w:space="0" w:color="auto"/>
      </w:divBdr>
    </w:div>
    <w:div w:id="339738692">
      <w:bodyDiv w:val="1"/>
      <w:marLeft w:val="0"/>
      <w:marRight w:val="0"/>
      <w:marTop w:val="0"/>
      <w:marBottom w:val="0"/>
      <w:divBdr>
        <w:top w:val="none" w:sz="0" w:space="0" w:color="auto"/>
        <w:left w:val="none" w:sz="0" w:space="0" w:color="auto"/>
        <w:bottom w:val="none" w:sz="0" w:space="0" w:color="auto"/>
        <w:right w:val="none" w:sz="0" w:space="0" w:color="auto"/>
      </w:divBdr>
    </w:div>
    <w:div w:id="356739570">
      <w:bodyDiv w:val="1"/>
      <w:marLeft w:val="0"/>
      <w:marRight w:val="0"/>
      <w:marTop w:val="0"/>
      <w:marBottom w:val="0"/>
      <w:divBdr>
        <w:top w:val="none" w:sz="0" w:space="0" w:color="auto"/>
        <w:left w:val="none" w:sz="0" w:space="0" w:color="auto"/>
        <w:bottom w:val="none" w:sz="0" w:space="0" w:color="auto"/>
        <w:right w:val="none" w:sz="0" w:space="0" w:color="auto"/>
      </w:divBdr>
    </w:div>
    <w:div w:id="374159837">
      <w:bodyDiv w:val="1"/>
      <w:marLeft w:val="0"/>
      <w:marRight w:val="0"/>
      <w:marTop w:val="0"/>
      <w:marBottom w:val="0"/>
      <w:divBdr>
        <w:top w:val="none" w:sz="0" w:space="0" w:color="auto"/>
        <w:left w:val="none" w:sz="0" w:space="0" w:color="auto"/>
        <w:bottom w:val="none" w:sz="0" w:space="0" w:color="auto"/>
        <w:right w:val="none" w:sz="0" w:space="0" w:color="auto"/>
      </w:divBdr>
    </w:div>
    <w:div w:id="377823430">
      <w:bodyDiv w:val="1"/>
      <w:marLeft w:val="0"/>
      <w:marRight w:val="0"/>
      <w:marTop w:val="0"/>
      <w:marBottom w:val="0"/>
      <w:divBdr>
        <w:top w:val="none" w:sz="0" w:space="0" w:color="auto"/>
        <w:left w:val="none" w:sz="0" w:space="0" w:color="auto"/>
        <w:bottom w:val="none" w:sz="0" w:space="0" w:color="auto"/>
        <w:right w:val="none" w:sz="0" w:space="0" w:color="auto"/>
      </w:divBdr>
    </w:div>
    <w:div w:id="445855457">
      <w:bodyDiv w:val="1"/>
      <w:marLeft w:val="0"/>
      <w:marRight w:val="0"/>
      <w:marTop w:val="0"/>
      <w:marBottom w:val="0"/>
      <w:divBdr>
        <w:top w:val="none" w:sz="0" w:space="0" w:color="auto"/>
        <w:left w:val="none" w:sz="0" w:space="0" w:color="auto"/>
        <w:bottom w:val="none" w:sz="0" w:space="0" w:color="auto"/>
        <w:right w:val="none" w:sz="0" w:space="0" w:color="auto"/>
      </w:divBdr>
    </w:div>
    <w:div w:id="468212345">
      <w:bodyDiv w:val="1"/>
      <w:marLeft w:val="0"/>
      <w:marRight w:val="0"/>
      <w:marTop w:val="0"/>
      <w:marBottom w:val="0"/>
      <w:divBdr>
        <w:top w:val="none" w:sz="0" w:space="0" w:color="auto"/>
        <w:left w:val="none" w:sz="0" w:space="0" w:color="auto"/>
        <w:bottom w:val="none" w:sz="0" w:space="0" w:color="auto"/>
        <w:right w:val="none" w:sz="0" w:space="0" w:color="auto"/>
      </w:divBdr>
    </w:div>
    <w:div w:id="471411728">
      <w:bodyDiv w:val="1"/>
      <w:marLeft w:val="0"/>
      <w:marRight w:val="0"/>
      <w:marTop w:val="0"/>
      <w:marBottom w:val="0"/>
      <w:divBdr>
        <w:top w:val="none" w:sz="0" w:space="0" w:color="auto"/>
        <w:left w:val="none" w:sz="0" w:space="0" w:color="auto"/>
        <w:bottom w:val="none" w:sz="0" w:space="0" w:color="auto"/>
        <w:right w:val="none" w:sz="0" w:space="0" w:color="auto"/>
      </w:divBdr>
    </w:div>
    <w:div w:id="524250821">
      <w:bodyDiv w:val="1"/>
      <w:marLeft w:val="0"/>
      <w:marRight w:val="0"/>
      <w:marTop w:val="0"/>
      <w:marBottom w:val="0"/>
      <w:divBdr>
        <w:top w:val="none" w:sz="0" w:space="0" w:color="auto"/>
        <w:left w:val="none" w:sz="0" w:space="0" w:color="auto"/>
        <w:bottom w:val="none" w:sz="0" w:space="0" w:color="auto"/>
        <w:right w:val="none" w:sz="0" w:space="0" w:color="auto"/>
      </w:divBdr>
    </w:div>
    <w:div w:id="524907220">
      <w:bodyDiv w:val="1"/>
      <w:marLeft w:val="0"/>
      <w:marRight w:val="0"/>
      <w:marTop w:val="0"/>
      <w:marBottom w:val="0"/>
      <w:divBdr>
        <w:top w:val="none" w:sz="0" w:space="0" w:color="auto"/>
        <w:left w:val="none" w:sz="0" w:space="0" w:color="auto"/>
        <w:bottom w:val="none" w:sz="0" w:space="0" w:color="auto"/>
        <w:right w:val="none" w:sz="0" w:space="0" w:color="auto"/>
      </w:divBdr>
    </w:div>
    <w:div w:id="556092225">
      <w:bodyDiv w:val="1"/>
      <w:marLeft w:val="0"/>
      <w:marRight w:val="0"/>
      <w:marTop w:val="0"/>
      <w:marBottom w:val="0"/>
      <w:divBdr>
        <w:top w:val="none" w:sz="0" w:space="0" w:color="auto"/>
        <w:left w:val="none" w:sz="0" w:space="0" w:color="auto"/>
        <w:bottom w:val="none" w:sz="0" w:space="0" w:color="auto"/>
        <w:right w:val="none" w:sz="0" w:space="0" w:color="auto"/>
      </w:divBdr>
    </w:div>
    <w:div w:id="658001251">
      <w:bodyDiv w:val="1"/>
      <w:marLeft w:val="0"/>
      <w:marRight w:val="0"/>
      <w:marTop w:val="0"/>
      <w:marBottom w:val="0"/>
      <w:divBdr>
        <w:top w:val="none" w:sz="0" w:space="0" w:color="auto"/>
        <w:left w:val="none" w:sz="0" w:space="0" w:color="auto"/>
        <w:bottom w:val="none" w:sz="0" w:space="0" w:color="auto"/>
        <w:right w:val="none" w:sz="0" w:space="0" w:color="auto"/>
      </w:divBdr>
    </w:div>
    <w:div w:id="667564517">
      <w:bodyDiv w:val="1"/>
      <w:marLeft w:val="0"/>
      <w:marRight w:val="0"/>
      <w:marTop w:val="0"/>
      <w:marBottom w:val="0"/>
      <w:divBdr>
        <w:top w:val="none" w:sz="0" w:space="0" w:color="auto"/>
        <w:left w:val="none" w:sz="0" w:space="0" w:color="auto"/>
        <w:bottom w:val="none" w:sz="0" w:space="0" w:color="auto"/>
        <w:right w:val="none" w:sz="0" w:space="0" w:color="auto"/>
      </w:divBdr>
    </w:div>
    <w:div w:id="707070265">
      <w:bodyDiv w:val="1"/>
      <w:marLeft w:val="0"/>
      <w:marRight w:val="0"/>
      <w:marTop w:val="0"/>
      <w:marBottom w:val="0"/>
      <w:divBdr>
        <w:top w:val="none" w:sz="0" w:space="0" w:color="auto"/>
        <w:left w:val="none" w:sz="0" w:space="0" w:color="auto"/>
        <w:bottom w:val="none" w:sz="0" w:space="0" w:color="auto"/>
        <w:right w:val="none" w:sz="0" w:space="0" w:color="auto"/>
      </w:divBdr>
    </w:div>
    <w:div w:id="747504569">
      <w:bodyDiv w:val="1"/>
      <w:marLeft w:val="0"/>
      <w:marRight w:val="0"/>
      <w:marTop w:val="0"/>
      <w:marBottom w:val="0"/>
      <w:divBdr>
        <w:top w:val="none" w:sz="0" w:space="0" w:color="auto"/>
        <w:left w:val="none" w:sz="0" w:space="0" w:color="auto"/>
        <w:bottom w:val="none" w:sz="0" w:space="0" w:color="auto"/>
        <w:right w:val="none" w:sz="0" w:space="0" w:color="auto"/>
      </w:divBdr>
    </w:div>
    <w:div w:id="764151440">
      <w:bodyDiv w:val="1"/>
      <w:marLeft w:val="0"/>
      <w:marRight w:val="0"/>
      <w:marTop w:val="0"/>
      <w:marBottom w:val="0"/>
      <w:divBdr>
        <w:top w:val="none" w:sz="0" w:space="0" w:color="auto"/>
        <w:left w:val="none" w:sz="0" w:space="0" w:color="auto"/>
        <w:bottom w:val="none" w:sz="0" w:space="0" w:color="auto"/>
        <w:right w:val="none" w:sz="0" w:space="0" w:color="auto"/>
      </w:divBdr>
    </w:div>
    <w:div w:id="776096489">
      <w:bodyDiv w:val="1"/>
      <w:marLeft w:val="0"/>
      <w:marRight w:val="0"/>
      <w:marTop w:val="0"/>
      <w:marBottom w:val="0"/>
      <w:divBdr>
        <w:top w:val="none" w:sz="0" w:space="0" w:color="auto"/>
        <w:left w:val="none" w:sz="0" w:space="0" w:color="auto"/>
        <w:bottom w:val="none" w:sz="0" w:space="0" w:color="auto"/>
        <w:right w:val="none" w:sz="0" w:space="0" w:color="auto"/>
      </w:divBdr>
    </w:div>
    <w:div w:id="804616170">
      <w:bodyDiv w:val="1"/>
      <w:marLeft w:val="0"/>
      <w:marRight w:val="0"/>
      <w:marTop w:val="0"/>
      <w:marBottom w:val="0"/>
      <w:divBdr>
        <w:top w:val="none" w:sz="0" w:space="0" w:color="auto"/>
        <w:left w:val="none" w:sz="0" w:space="0" w:color="auto"/>
        <w:bottom w:val="none" w:sz="0" w:space="0" w:color="auto"/>
        <w:right w:val="none" w:sz="0" w:space="0" w:color="auto"/>
      </w:divBdr>
    </w:div>
    <w:div w:id="923227224">
      <w:bodyDiv w:val="1"/>
      <w:marLeft w:val="0"/>
      <w:marRight w:val="0"/>
      <w:marTop w:val="0"/>
      <w:marBottom w:val="0"/>
      <w:divBdr>
        <w:top w:val="none" w:sz="0" w:space="0" w:color="auto"/>
        <w:left w:val="none" w:sz="0" w:space="0" w:color="auto"/>
        <w:bottom w:val="none" w:sz="0" w:space="0" w:color="auto"/>
        <w:right w:val="none" w:sz="0" w:space="0" w:color="auto"/>
      </w:divBdr>
    </w:div>
    <w:div w:id="932277695">
      <w:bodyDiv w:val="1"/>
      <w:marLeft w:val="0"/>
      <w:marRight w:val="0"/>
      <w:marTop w:val="0"/>
      <w:marBottom w:val="0"/>
      <w:divBdr>
        <w:top w:val="none" w:sz="0" w:space="0" w:color="auto"/>
        <w:left w:val="none" w:sz="0" w:space="0" w:color="auto"/>
        <w:bottom w:val="none" w:sz="0" w:space="0" w:color="auto"/>
        <w:right w:val="none" w:sz="0" w:space="0" w:color="auto"/>
      </w:divBdr>
    </w:div>
    <w:div w:id="946887778">
      <w:bodyDiv w:val="1"/>
      <w:marLeft w:val="0"/>
      <w:marRight w:val="0"/>
      <w:marTop w:val="0"/>
      <w:marBottom w:val="0"/>
      <w:divBdr>
        <w:top w:val="none" w:sz="0" w:space="0" w:color="auto"/>
        <w:left w:val="none" w:sz="0" w:space="0" w:color="auto"/>
        <w:bottom w:val="none" w:sz="0" w:space="0" w:color="auto"/>
        <w:right w:val="none" w:sz="0" w:space="0" w:color="auto"/>
      </w:divBdr>
    </w:div>
    <w:div w:id="955478477">
      <w:bodyDiv w:val="1"/>
      <w:marLeft w:val="0"/>
      <w:marRight w:val="0"/>
      <w:marTop w:val="0"/>
      <w:marBottom w:val="0"/>
      <w:divBdr>
        <w:top w:val="none" w:sz="0" w:space="0" w:color="auto"/>
        <w:left w:val="none" w:sz="0" w:space="0" w:color="auto"/>
        <w:bottom w:val="none" w:sz="0" w:space="0" w:color="auto"/>
        <w:right w:val="none" w:sz="0" w:space="0" w:color="auto"/>
      </w:divBdr>
    </w:div>
    <w:div w:id="966399428">
      <w:bodyDiv w:val="1"/>
      <w:marLeft w:val="0"/>
      <w:marRight w:val="0"/>
      <w:marTop w:val="0"/>
      <w:marBottom w:val="0"/>
      <w:divBdr>
        <w:top w:val="none" w:sz="0" w:space="0" w:color="auto"/>
        <w:left w:val="none" w:sz="0" w:space="0" w:color="auto"/>
        <w:bottom w:val="none" w:sz="0" w:space="0" w:color="auto"/>
        <w:right w:val="none" w:sz="0" w:space="0" w:color="auto"/>
      </w:divBdr>
    </w:div>
    <w:div w:id="970862745">
      <w:bodyDiv w:val="1"/>
      <w:marLeft w:val="0"/>
      <w:marRight w:val="0"/>
      <w:marTop w:val="0"/>
      <w:marBottom w:val="0"/>
      <w:divBdr>
        <w:top w:val="none" w:sz="0" w:space="0" w:color="auto"/>
        <w:left w:val="none" w:sz="0" w:space="0" w:color="auto"/>
        <w:bottom w:val="none" w:sz="0" w:space="0" w:color="auto"/>
        <w:right w:val="none" w:sz="0" w:space="0" w:color="auto"/>
      </w:divBdr>
    </w:div>
    <w:div w:id="1005405256">
      <w:bodyDiv w:val="1"/>
      <w:marLeft w:val="0"/>
      <w:marRight w:val="0"/>
      <w:marTop w:val="0"/>
      <w:marBottom w:val="0"/>
      <w:divBdr>
        <w:top w:val="none" w:sz="0" w:space="0" w:color="auto"/>
        <w:left w:val="none" w:sz="0" w:space="0" w:color="auto"/>
        <w:bottom w:val="none" w:sz="0" w:space="0" w:color="auto"/>
        <w:right w:val="none" w:sz="0" w:space="0" w:color="auto"/>
      </w:divBdr>
    </w:div>
    <w:div w:id="1013411277">
      <w:bodyDiv w:val="1"/>
      <w:marLeft w:val="0"/>
      <w:marRight w:val="0"/>
      <w:marTop w:val="0"/>
      <w:marBottom w:val="0"/>
      <w:divBdr>
        <w:top w:val="none" w:sz="0" w:space="0" w:color="auto"/>
        <w:left w:val="none" w:sz="0" w:space="0" w:color="auto"/>
        <w:bottom w:val="none" w:sz="0" w:space="0" w:color="auto"/>
        <w:right w:val="none" w:sz="0" w:space="0" w:color="auto"/>
      </w:divBdr>
    </w:div>
    <w:div w:id="1033533781">
      <w:bodyDiv w:val="1"/>
      <w:marLeft w:val="0"/>
      <w:marRight w:val="0"/>
      <w:marTop w:val="0"/>
      <w:marBottom w:val="0"/>
      <w:divBdr>
        <w:top w:val="none" w:sz="0" w:space="0" w:color="auto"/>
        <w:left w:val="none" w:sz="0" w:space="0" w:color="auto"/>
        <w:bottom w:val="none" w:sz="0" w:space="0" w:color="auto"/>
        <w:right w:val="none" w:sz="0" w:space="0" w:color="auto"/>
      </w:divBdr>
    </w:div>
    <w:div w:id="1046834028">
      <w:bodyDiv w:val="1"/>
      <w:marLeft w:val="0"/>
      <w:marRight w:val="0"/>
      <w:marTop w:val="0"/>
      <w:marBottom w:val="0"/>
      <w:divBdr>
        <w:top w:val="none" w:sz="0" w:space="0" w:color="auto"/>
        <w:left w:val="none" w:sz="0" w:space="0" w:color="auto"/>
        <w:bottom w:val="none" w:sz="0" w:space="0" w:color="auto"/>
        <w:right w:val="none" w:sz="0" w:space="0" w:color="auto"/>
      </w:divBdr>
    </w:div>
    <w:div w:id="1099254507">
      <w:bodyDiv w:val="1"/>
      <w:marLeft w:val="0"/>
      <w:marRight w:val="0"/>
      <w:marTop w:val="0"/>
      <w:marBottom w:val="0"/>
      <w:divBdr>
        <w:top w:val="none" w:sz="0" w:space="0" w:color="auto"/>
        <w:left w:val="none" w:sz="0" w:space="0" w:color="auto"/>
        <w:bottom w:val="none" w:sz="0" w:space="0" w:color="auto"/>
        <w:right w:val="none" w:sz="0" w:space="0" w:color="auto"/>
      </w:divBdr>
    </w:div>
    <w:div w:id="1112480997">
      <w:bodyDiv w:val="1"/>
      <w:marLeft w:val="0"/>
      <w:marRight w:val="0"/>
      <w:marTop w:val="0"/>
      <w:marBottom w:val="0"/>
      <w:divBdr>
        <w:top w:val="none" w:sz="0" w:space="0" w:color="auto"/>
        <w:left w:val="none" w:sz="0" w:space="0" w:color="auto"/>
        <w:bottom w:val="none" w:sz="0" w:space="0" w:color="auto"/>
        <w:right w:val="none" w:sz="0" w:space="0" w:color="auto"/>
      </w:divBdr>
    </w:div>
    <w:div w:id="1131436548">
      <w:bodyDiv w:val="1"/>
      <w:marLeft w:val="0"/>
      <w:marRight w:val="0"/>
      <w:marTop w:val="0"/>
      <w:marBottom w:val="0"/>
      <w:divBdr>
        <w:top w:val="none" w:sz="0" w:space="0" w:color="auto"/>
        <w:left w:val="none" w:sz="0" w:space="0" w:color="auto"/>
        <w:bottom w:val="none" w:sz="0" w:space="0" w:color="auto"/>
        <w:right w:val="none" w:sz="0" w:space="0" w:color="auto"/>
      </w:divBdr>
    </w:div>
    <w:div w:id="1137917223">
      <w:bodyDiv w:val="1"/>
      <w:marLeft w:val="0"/>
      <w:marRight w:val="0"/>
      <w:marTop w:val="0"/>
      <w:marBottom w:val="0"/>
      <w:divBdr>
        <w:top w:val="none" w:sz="0" w:space="0" w:color="auto"/>
        <w:left w:val="none" w:sz="0" w:space="0" w:color="auto"/>
        <w:bottom w:val="none" w:sz="0" w:space="0" w:color="auto"/>
        <w:right w:val="none" w:sz="0" w:space="0" w:color="auto"/>
      </w:divBdr>
    </w:div>
    <w:div w:id="1183520713">
      <w:bodyDiv w:val="1"/>
      <w:marLeft w:val="0"/>
      <w:marRight w:val="0"/>
      <w:marTop w:val="0"/>
      <w:marBottom w:val="0"/>
      <w:divBdr>
        <w:top w:val="none" w:sz="0" w:space="0" w:color="auto"/>
        <w:left w:val="none" w:sz="0" w:space="0" w:color="auto"/>
        <w:bottom w:val="none" w:sz="0" w:space="0" w:color="auto"/>
        <w:right w:val="none" w:sz="0" w:space="0" w:color="auto"/>
      </w:divBdr>
    </w:div>
    <w:div w:id="1186560837">
      <w:bodyDiv w:val="1"/>
      <w:marLeft w:val="0"/>
      <w:marRight w:val="0"/>
      <w:marTop w:val="0"/>
      <w:marBottom w:val="0"/>
      <w:divBdr>
        <w:top w:val="none" w:sz="0" w:space="0" w:color="auto"/>
        <w:left w:val="none" w:sz="0" w:space="0" w:color="auto"/>
        <w:bottom w:val="none" w:sz="0" w:space="0" w:color="auto"/>
        <w:right w:val="none" w:sz="0" w:space="0" w:color="auto"/>
      </w:divBdr>
    </w:div>
    <w:div w:id="1211723496">
      <w:bodyDiv w:val="1"/>
      <w:marLeft w:val="0"/>
      <w:marRight w:val="0"/>
      <w:marTop w:val="0"/>
      <w:marBottom w:val="0"/>
      <w:divBdr>
        <w:top w:val="none" w:sz="0" w:space="0" w:color="auto"/>
        <w:left w:val="none" w:sz="0" w:space="0" w:color="auto"/>
        <w:bottom w:val="none" w:sz="0" w:space="0" w:color="auto"/>
        <w:right w:val="none" w:sz="0" w:space="0" w:color="auto"/>
      </w:divBdr>
    </w:div>
    <w:div w:id="1219173743">
      <w:bodyDiv w:val="1"/>
      <w:marLeft w:val="0"/>
      <w:marRight w:val="0"/>
      <w:marTop w:val="0"/>
      <w:marBottom w:val="0"/>
      <w:divBdr>
        <w:top w:val="none" w:sz="0" w:space="0" w:color="auto"/>
        <w:left w:val="none" w:sz="0" w:space="0" w:color="auto"/>
        <w:bottom w:val="none" w:sz="0" w:space="0" w:color="auto"/>
        <w:right w:val="none" w:sz="0" w:space="0" w:color="auto"/>
      </w:divBdr>
    </w:div>
    <w:div w:id="1296447574">
      <w:bodyDiv w:val="1"/>
      <w:marLeft w:val="0"/>
      <w:marRight w:val="0"/>
      <w:marTop w:val="0"/>
      <w:marBottom w:val="0"/>
      <w:divBdr>
        <w:top w:val="none" w:sz="0" w:space="0" w:color="auto"/>
        <w:left w:val="none" w:sz="0" w:space="0" w:color="auto"/>
        <w:bottom w:val="none" w:sz="0" w:space="0" w:color="auto"/>
        <w:right w:val="none" w:sz="0" w:space="0" w:color="auto"/>
      </w:divBdr>
    </w:div>
    <w:div w:id="1321353377">
      <w:bodyDiv w:val="1"/>
      <w:marLeft w:val="0"/>
      <w:marRight w:val="0"/>
      <w:marTop w:val="0"/>
      <w:marBottom w:val="0"/>
      <w:divBdr>
        <w:top w:val="none" w:sz="0" w:space="0" w:color="auto"/>
        <w:left w:val="none" w:sz="0" w:space="0" w:color="auto"/>
        <w:bottom w:val="none" w:sz="0" w:space="0" w:color="auto"/>
        <w:right w:val="none" w:sz="0" w:space="0" w:color="auto"/>
      </w:divBdr>
    </w:div>
    <w:div w:id="1337538946">
      <w:bodyDiv w:val="1"/>
      <w:marLeft w:val="0"/>
      <w:marRight w:val="0"/>
      <w:marTop w:val="0"/>
      <w:marBottom w:val="0"/>
      <w:divBdr>
        <w:top w:val="none" w:sz="0" w:space="0" w:color="auto"/>
        <w:left w:val="none" w:sz="0" w:space="0" w:color="auto"/>
        <w:bottom w:val="none" w:sz="0" w:space="0" w:color="auto"/>
        <w:right w:val="none" w:sz="0" w:space="0" w:color="auto"/>
      </w:divBdr>
    </w:div>
    <w:div w:id="1357074346">
      <w:bodyDiv w:val="1"/>
      <w:marLeft w:val="0"/>
      <w:marRight w:val="0"/>
      <w:marTop w:val="0"/>
      <w:marBottom w:val="0"/>
      <w:divBdr>
        <w:top w:val="none" w:sz="0" w:space="0" w:color="auto"/>
        <w:left w:val="none" w:sz="0" w:space="0" w:color="auto"/>
        <w:bottom w:val="none" w:sz="0" w:space="0" w:color="auto"/>
        <w:right w:val="none" w:sz="0" w:space="0" w:color="auto"/>
      </w:divBdr>
    </w:div>
    <w:div w:id="1396388954">
      <w:bodyDiv w:val="1"/>
      <w:marLeft w:val="0"/>
      <w:marRight w:val="0"/>
      <w:marTop w:val="0"/>
      <w:marBottom w:val="0"/>
      <w:divBdr>
        <w:top w:val="none" w:sz="0" w:space="0" w:color="auto"/>
        <w:left w:val="none" w:sz="0" w:space="0" w:color="auto"/>
        <w:bottom w:val="none" w:sz="0" w:space="0" w:color="auto"/>
        <w:right w:val="none" w:sz="0" w:space="0" w:color="auto"/>
      </w:divBdr>
    </w:div>
    <w:div w:id="1458715030">
      <w:bodyDiv w:val="1"/>
      <w:marLeft w:val="0"/>
      <w:marRight w:val="0"/>
      <w:marTop w:val="0"/>
      <w:marBottom w:val="0"/>
      <w:divBdr>
        <w:top w:val="none" w:sz="0" w:space="0" w:color="auto"/>
        <w:left w:val="none" w:sz="0" w:space="0" w:color="auto"/>
        <w:bottom w:val="none" w:sz="0" w:space="0" w:color="auto"/>
        <w:right w:val="none" w:sz="0" w:space="0" w:color="auto"/>
      </w:divBdr>
    </w:div>
    <w:div w:id="1493984083">
      <w:bodyDiv w:val="1"/>
      <w:marLeft w:val="0"/>
      <w:marRight w:val="0"/>
      <w:marTop w:val="0"/>
      <w:marBottom w:val="0"/>
      <w:divBdr>
        <w:top w:val="none" w:sz="0" w:space="0" w:color="auto"/>
        <w:left w:val="none" w:sz="0" w:space="0" w:color="auto"/>
        <w:bottom w:val="none" w:sz="0" w:space="0" w:color="auto"/>
        <w:right w:val="none" w:sz="0" w:space="0" w:color="auto"/>
      </w:divBdr>
    </w:div>
    <w:div w:id="1527864331">
      <w:bodyDiv w:val="1"/>
      <w:marLeft w:val="0"/>
      <w:marRight w:val="0"/>
      <w:marTop w:val="0"/>
      <w:marBottom w:val="0"/>
      <w:divBdr>
        <w:top w:val="none" w:sz="0" w:space="0" w:color="auto"/>
        <w:left w:val="none" w:sz="0" w:space="0" w:color="auto"/>
        <w:bottom w:val="none" w:sz="0" w:space="0" w:color="auto"/>
        <w:right w:val="none" w:sz="0" w:space="0" w:color="auto"/>
      </w:divBdr>
    </w:div>
    <w:div w:id="1551264636">
      <w:bodyDiv w:val="1"/>
      <w:marLeft w:val="0"/>
      <w:marRight w:val="0"/>
      <w:marTop w:val="0"/>
      <w:marBottom w:val="0"/>
      <w:divBdr>
        <w:top w:val="none" w:sz="0" w:space="0" w:color="auto"/>
        <w:left w:val="none" w:sz="0" w:space="0" w:color="auto"/>
        <w:bottom w:val="none" w:sz="0" w:space="0" w:color="auto"/>
        <w:right w:val="none" w:sz="0" w:space="0" w:color="auto"/>
      </w:divBdr>
    </w:div>
    <w:div w:id="1559242164">
      <w:bodyDiv w:val="1"/>
      <w:marLeft w:val="0"/>
      <w:marRight w:val="0"/>
      <w:marTop w:val="0"/>
      <w:marBottom w:val="0"/>
      <w:divBdr>
        <w:top w:val="none" w:sz="0" w:space="0" w:color="auto"/>
        <w:left w:val="none" w:sz="0" w:space="0" w:color="auto"/>
        <w:bottom w:val="none" w:sz="0" w:space="0" w:color="auto"/>
        <w:right w:val="none" w:sz="0" w:space="0" w:color="auto"/>
      </w:divBdr>
    </w:div>
    <w:div w:id="1562985542">
      <w:bodyDiv w:val="1"/>
      <w:marLeft w:val="0"/>
      <w:marRight w:val="0"/>
      <w:marTop w:val="0"/>
      <w:marBottom w:val="0"/>
      <w:divBdr>
        <w:top w:val="none" w:sz="0" w:space="0" w:color="auto"/>
        <w:left w:val="none" w:sz="0" w:space="0" w:color="auto"/>
        <w:bottom w:val="none" w:sz="0" w:space="0" w:color="auto"/>
        <w:right w:val="none" w:sz="0" w:space="0" w:color="auto"/>
      </w:divBdr>
    </w:div>
    <w:div w:id="1564412341">
      <w:bodyDiv w:val="1"/>
      <w:marLeft w:val="0"/>
      <w:marRight w:val="0"/>
      <w:marTop w:val="0"/>
      <w:marBottom w:val="0"/>
      <w:divBdr>
        <w:top w:val="none" w:sz="0" w:space="0" w:color="auto"/>
        <w:left w:val="none" w:sz="0" w:space="0" w:color="auto"/>
        <w:bottom w:val="none" w:sz="0" w:space="0" w:color="auto"/>
        <w:right w:val="none" w:sz="0" w:space="0" w:color="auto"/>
      </w:divBdr>
    </w:div>
    <w:div w:id="1595475335">
      <w:bodyDiv w:val="1"/>
      <w:marLeft w:val="0"/>
      <w:marRight w:val="0"/>
      <w:marTop w:val="0"/>
      <w:marBottom w:val="0"/>
      <w:divBdr>
        <w:top w:val="none" w:sz="0" w:space="0" w:color="auto"/>
        <w:left w:val="none" w:sz="0" w:space="0" w:color="auto"/>
        <w:bottom w:val="none" w:sz="0" w:space="0" w:color="auto"/>
        <w:right w:val="none" w:sz="0" w:space="0" w:color="auto"/>
      </w:divBdr>
    </w:div>
    <w:div w:id="1659109871">
      <w:bodyDiv w:val="1"/>
      <w:marLeft w:val="0"/>
      <w:marRight w:val="0"/>
      <w:marTop w:val="0"/>
      <w:marBottom w:val="0"/>
      <w:divBdr>
        <w:top w:val="none" w:sz="0" w:space="0" w:color="auto"/>
        <w:left w:val="none" w:sz="0" w:space="0" w:color="auto"/>
        <w:bottom w:val="none" w:sz="0" w:space="0" w:color="auto"/>
        <w:right w:val="none" w:sz="0" w:space="0" w:color="auto"/>
      </w:divBdr>
    </w:div>
    <w:div w:id="1695766685">
      <w:bodyDiv w:val="1"/>
      <w:marLeft w:val="0"/>
      <w:marRight w:val="0"/>
      <w:marTop w:val="0"/>
      <w:marBottom w:val="0"/>
      <w:divBdr>
        <w:top w:val="none" w:sz="0" w:space="0" w:color="auto"/>
        <w:left w:val="none" w:sz="0" w:space="0" w:color="auto"/>
        <w:bottom w:val="none" w:sz="0" w:space="0" w:color="auto"/>
        <w:right w:val="none" w:sz="0" w:space="0" w:color="auto"/>
      </w:divBdr>
    </w:div>
    <w:div w:id="1772437196">
      <w:bodyDiv w:val="1"/>
      <w:marLeft w:val="0"/>
      <w:marRight w:val="0"/>
      <w:marTop w:val="0"/>
      <w:marBottom w:val="0"/>
      <w:divBdr>
        <w:top w:val="none" w:sz="0" w:space="0" w:color="auto"/>
        <w:left w:val="none" w:sz="0" w:space="0" w:color="auto"/>
        <w:bottom w:val="none" w:sz="0" w:space="0" w:color="auto"/>
        <w:right w:val="none" w:sz="0" w:space="0" w:color="auto"/>
      </w:divBdr>
    </w:div>
    <w:div w:id="1794981965">
      <w:bodyDiv w:val="1"/>
      <w:marLeft w:val="0"/>
      <w:marRight w:val="0"/>
      <w:marTop w:val="0"/>
      <w:marBottom w:val="0"/>
      <w:divBdr>
        <w:top w:val="none" w:sz="0" w:space="0" w:color="auto"/>
        <w:left w:val="none" w:sz="0" w:space="0" w:color="auto"/>
        <w:bottom w:val="none" w:sz="0" w:space="0" w:color="auto"/>
        <w:right w:val="none" w:sz="0" w:space="0" w:color="auto"/>
      </w:divBdr>
    </w:div>
    <w:div w:id="1898935126">
      <w:bodyDiv w:val="1"/>
      <w:marLeft w:val="0"/>
      <w:marRight w:val="0"/>
      <w:marTop w:val="0"/>
      <w:marBottom w:val="0"/>
      <w:divBdr>
        <w:top w:val="none" w:sz="0" w:space="0" w:color="auto"/>
        <w:left w:val="none" w:sz="0" w:space="0" w:color="auto"/>
        <w:bottom w:val="none" w:sz="0" w:space="0" w:color="auto"/>
        <w:right w:val="none" w:sz="0" w:space="0" w:color="auto"/>
      </w:divBdr>
    </w:div>
    <w:div w:id="1918437347">
      <w:bodyDiv w:val="1"/>
      <w:marLeft w:val="0"/>
      <w:marRight w:val="0"/>
      <w:marTop w:val="0"/>
      <w:marBottom w:val="0"/>
      <w:divBdr>
        <w:top w:val="none" w:sz="0" w:space="0" w:color="auto"/>
        <w:left w:val="none" w:sz="0" w:space="0" w:color="auto"/>
        <w:bottom w:val="none" w:sz="0" w:space="0" w:color="auto"/>
        <w:right w:val="none" w:sz="0" w:space="0" w:color="auto"/>
      </w:divBdr>
    </w:div>
    <w:div w:id="1937207431">
      <w:bodyDiv w:val="1"/>
      <w:marLeft w:val="0"/>
      <w:marRight w:val="0"/>
      <w:marTop w:val="0"/>
      <w:marBottom w:val="0"/>
      <w:divBdr>
        <w:top w:val="none" w:sz="0" w:space="0" w:color="auto"/>
        <w:left w:val="none" w:sz="0" w:space="0" w:color="auto"/>
        <w:bottom w:val="none" w:sz="0" w:space="0" w:color="auto"/>
        <w:right w:val="none" w:sz="0" w:space="0" w:color="auto"/>
      </w:divBdr>
    </w:div>
    <w:div w:id="1977106066">
      <w:bodyDiv w:val="1"/>
      <w:marLeft w:val="0"/>
      <w:marRight w:val="0"/>
      <w:marTop w:val="0"/>
      <w:marBottom w:val="0"/>
      <w:divBdr>
        <w:top w:val="none" w:sz="0" w:space="0" w:color="auto"/>
        <w:left w:val="none" w:sz="0" w:space="0" w:color="auto"/>
        <w:bottom w:val="none" w:sz="0" w:space="0" w:color="auto"/>
        <w:right w:val="none" w:sz="0" w:space="0" w:color="auto"/>
      </w:divBdr>
    </w:div>
    <w:div w:id="1997417201">
      <w:bodyDiv w:val="1"/>
      <w:marLeft w:val="0"/>
      <w:marRight w:val="0"/>
      <w:marTop w:val="0"/>
      <w:marBottom w:val="0"/>
      <w:divBdr>
        <w:top w:val="none" w:sz="0" w:space="0" w:color="auto"/>
        <w:left w:val="none" w:sz="0" w:space="0" w:color="auto"/>
        <w:bottom w:val="none" w:sz="0" w:space="0" w:color="auto"/>
        <w:right w:val="none" w:sz="0" w:space="0" w:color="auto"/>
      </w:divBdr>
    </w:div>
    <w:div w:id="1998610789">
      <w:bodyDiv w:val="1"/>
      <w:marLeft w:val="0"/>
      <w:marRight w:val="0"/>
      <w:marTop w:val="0"/>
      <w:marBottom w:val="0"/>
      <w:divBdr>
        <w:top w:val="none" w:sz="0" w:space="0" w:color="auto"/>
        <w:left w:val="none" w:sz="0" w:space="0" w:color="auto"/>
        <w:bottom w:val="none" w:sz="0" w:space="0" w:color="auto"/>
        <w:right w:val="none" w:sz="0" w:space="0" w:color="auto"/>
      </w:divBdr>
    </w:div>
    <w:div w:id="2063747117">
      <w:bodyDiv w:val="1"/>
      <w:marLeft w:val="0"/>
      <w:marRight w:val="0"/>
      <w:marTop w:val="0"/>
      <w:marBottom w:val="0"/>
      <w:divBdr>
        <w:top w:val="none" w:sz="0" w:space="0" w:color="auto"/>
        <w:left w:val="none" w:sz="0" w:space="0" w:color="auto"/>
        <w:bottom w:val="none" w:sz="0" w:space="0" w:color="auto"/>
        <w:right w:val="none" w:sz="0" w:space="0" w:color="auto"/>
      </w:divBdr>
    </w:div>
    <w:div w:id="2139520610">
      <w:bodyDiv w:val="1"/>
      <w:marLeft w:val="0"/>
      <w:marRight w:val="0"/>
      <w:marTop w:val="0"/>
      <w:marBottom w:val="0"/>
      <w:divBdr>
        <w:top w:val="none" w:sz="0" w:space="0" w:color="auto"/>
        <w:left w:val="none" w:sz="0" w:space="0" w:color="auto"/>
        <w:bottom w:val="none" w:sz="0" w:space="0" w:color="auto"/>
        <w:right w:val="none" w:sz="0" w:space="0" w:color="auto"/>
      </w:divBdr>
    </w:div>
    <w:div w:id="214461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Eur25</b:Tag>
    <b:SourceType>Report</b:SourceType>
    <b:Guid>{8D3027F5-9BB0-494D-B557-8F46547AF87B}</b:Guid>
    <b:Title>EU market regulation </b:Title>
    <b:Year>2025</b:Year>
    <b:City>Strasburg</b:City>
    <b:Publisher>EU</b:Publisher>
    <b:Author>
      <b:Author>
        <b:NameList>
          <b:Person>
            <b:Last>union</b:Last>
            <b:First>European</b:First>
          </b:Person>
        </b:NameList>
      </b:Author>
    </b:Author>
    <b:RefOrder>3</b:RefOrder>
  </b:Source>
  <b:Source>
    <b:Tag>Int17</b:Tag>
    <b:SourceType>Report</b:SourceType>
    <b:Guid>{56260C9D-D551-48E2-B78F-1D45F0F624BF}</b:Guid>
    <b:Title>Objective and Principles of securities Regulation </b:Title>
    <b:Year>2017 </b:Year>
    <b:Author>
      <b:Author>
        <b:NameList>
          <b:Person>
            <b:Last>Comissions</b:Last>
            <b:First>International</b:First>
            <b:Middle>Organisation of Securities</b:Middle>
          </b:Person>
        </b:NameList>
      </b:Author>
    </b:Author>
    <b:RefOrder>1</b:RefOrder>
  </b:Source>
  <b:Source>
    <b:Tag>ARTICLE19</b:Tag>
    <b:SourceType>DocumentFromInternetSite</b:SourceType>
    <b:Guid>{F26A93C4-ED19-4795-9A0A-F6B47E98B47A}</b:Guid>
    <b:Author>
      <b:Author>
        <b:NameList>
          <b:Person>
            <b:Last>19</b:Last>
            <b:First>ARTICLE</b:First>
          </b:Person>
        </b:NameList>
      </b:Author>
    </b:Author>
    <b:Title>International Standards on the Right to Information</b:Title>
    <b:RefOrder>4</b:RefOrder>
  </b:Source>
  <b:Source>
    <b:Tag>Eur1</b:Tag>
    <b:SourceType>Report</b:SourceType>
    <b:Guid>{9040A1EA-5331-4F56-9240-9DCE3983C328}</b:Guid>
    <b:Title>European Union — Market Abuse Regulation (MAR), Regulation (EU) No 596/2014.</b:Title>
    <b:Author>
      <b:Author>
        <b:NameList>
          <b:Person>
            <b:Last>Union</b:Last>
            <b:First>European</b:First>
          </b:Person>
        </b:NameList>
      </b:Author>
    </b:Author>
    <b:Publisher>Official Journal of the European Union</b:Publisher>
    <b:City>Brussels</b:City>
    <b:RefOrder>5</b:RefOrder>
  </b:Source>
  <b:Source>
    <b:Tag>Eur2</b:Tag>
    <b:SourceType>Report</b:SourceType>
    <b:Guid>{36529676-3C21-4688-8C3E-983819F76E66}</b:Guid>
    <b:Author>
      <b:Author>
        <b:NameList>
          <b:Person>
            <b:Last>Union</b:Last>
            <b:First>European</b:First>
          </b:Person>
        </b:NameList>
      </b:Author>
    </b:Author>
    <b:Title>Directive 2014/65/EU on Markets in Financial Instruments (MiFID II)</b:Title>
    <b:Publisher>Official Journal of the European Union</b:Publisher>
    <b:City>Brussel</b:City>
    <b:RefOrder>6</b:RefOrder>
  </b:Source>
  <b:Source>
    <b:Tag>Off</b:Tag>
    <b:SourceType>Report</b:SourceType>
    <b:Guid>{C128374D-99FA-4BD8-86BA-91C974694F1A}</b:Guid>
    <b:Author>
      <b:Author>
        <b:NameList>
          <b:Person>
            <b:Last>Union</b:Last>
            <b:First>Official</b:First>
            <b:Middle>Journal of the European</b:Middle>
          </b:Person>
        </b:NameList>
      </b:Author>
    </b:Author>
    <b:Title>Directive 2014/65/EU on Markets in Financial Instruments (MiFID II)</b:Title>
    <b:Publisher> European Union</b:Publisher>
    <b:RefOrder>7</b:RefOrder>
  </b:Source>
  <b:Source>
    <b:Tag>Sec</b:Tag>
    <b:SourceType>Report</b:SourceType>
    <b:Guid>{406207E5-F629-479F-84C0-0F6F2D397280}</b:Guid>
    <b:Author>
      <b:Author>
        <b:NameList>
          <b:Person>
            <b:Last>Macedoni</b:Last>
            <b:First>Securities</b:First>
            <b:Middle>and Exchange Commission of the Republic of North</b:Middle>
          </b:Person>
        </b:NameList>
      </b:Author>
    </b:Author>
    <b:Title>Law on Securities and Exchange </b:Title>
    <b:Publisher>Official Gazette of RM</b:Publisher>
    <b:RefOrder>8</b:RefOrder>
  </b:Source>
  <b:Source>
    <b:Tag>Eur3</b:Tag>
    <b:SourceType>Report</b:SourceType>
    <b:Guid>{80B87E89-F0BD-4D6B-8EC6-1DDA7BF7AEC0}</b:Guid>
    <b:Author>
      <b:Author>
        <b:NameList>
          <b:Person>
            <b:Last>ESMA</b:Last>
            <b:First>European</b:First>
            <b:Middle>Union /</b:Middle>
          </b:Person>
        </b:NameList>
      </b:Author>
    </b:Author>
    <b:Title>Directive 2014/65/EU on Markets in Financial Instruments (MiFID II) / Regulation (EU) No 600/2014 (MiFIR) / ESMA Guidelines on MiFID II</b:Title>
    <b:Publisher>Official Journal of the European Union / ESMA</b:Publisher>
    <b:RefOrder>9</b:RefOrder>
  </b:Source>
  <b:Source>
    <b:Tag>Eur4</b:Tag>
    <b:SourceType>Report</b:SourceType>
    <b:Guid>{87A1306B-7977-45A4-BC85-3EDC79ED6A0D}</b:Guid>
    <b:Author>
      <b:Author>
        <b:NameList>
          <b:Person>
            <b:Last>Union</b:Last>
            <b:First>European</b:First>
          </b:Person>
        </b:NameList>
      </b:Author>
    </b:Author>
    <b:Title>Regulation (EU) No 596/2014 on Market Abuse (Market Abuse Regulation — MAR)</b:Title>
    <b:Publisher>Official Journal of the European Union</b:Publisher>
    <b:RefOrder>10</b:RefOrder>
  </b:Source>
  <b:Source>
    <b:Tag>Fin</b:Tag>
    <b:SourceType>DocumentFromInternetSite</b:SourceType>
    <b:Guid>{81A24B44-DF96-45A8-A429-4721DDA780EB}</b:Guid>
    <b:Title>Wirecard: the timeline of Germany’s biggest financial scandal</b:Title>
    <b:Author>
      <b:Author>
        <b:NameList>
          <b:Person>
            <b:Last>Times</b:Last>
            <b:First>Financial</b:First>
          </b:Person>
        </b:NameList>
      </b:Author>
    </b:Author>
    <b:InternetSiteTitle>Financial Times</b:InternetSiteTitle>
    <b:RefOrder>11</b:RefOrder>
  </b:Source>
  <b:Source>
    <b:Tag>USS</b:Tag>
    <b:SourceType>InternetSite</b:SourceType>
    <b:Guid>{0A3A98BE-9267-41D5-AE13-50F3DF092917}</b:Guid>
    <b:Author>
      <b:Author>
        <b:NameList>
          <b:Person>
            <b:Last>(SEC)</b:Last>
            <b:First>U.S.</b:First>
            <b:Middle>Securities and Exchange Commission</b:Middle>
          </b:Person>
        </b:NameList>
      </b:Author>
    </b:Author>
    <b:Title>SEC Charges FTX and Sam Bankman-Fried with Fraud</b:Title>
    <b:RefOrder>12</b:RefOrder>
  </b:Source>
  <b:Source>
    <b:Tag>Reu</b:Tag>
    <b:SourceType>InternetSite</b:SourceType>
    <b:Guid>{6A1BAF55-2B42-49C3-8B2B-771A8D6BB660}</b:Guid>
    <b:Author>
      <b:Author>
        <b:NameList>
          <b:Person>
            <b:Last>Reuters</b:Last>
          </b:Person>
        </b:NameList>
      </b:Author>
    </b:Author>
    <b:Title>Archegos Capital: How $10 billion vanished</b:Title>
    <b:RefOrder>13</b:RefOrder>
  </b:Source>
  <b:Source>
    <b:Tag>Eur</b:Tag>
    <b:SourceType>DocumentFromInternetSite</b:SourceType>
    <b:Guid>{F81E47C9-193E-47D9-AEE3-58EF1E90B2AC}</b:Guid>
    <b:Title>ESMA, Interactive Single Rulebook, “MiFID II / MiFIR”</b:Title>
    <b:Author>
      <b:Author>
        <b:NameList>
          <b:Person>
            <b:Last>(ESMA)</b:Last>
            <b:First>European</b:First>
            <b:Middle>Securities and Markets Authority</b:Middle>
          </b:Person>
        </b:NameList>
      </b:Author>
    </b:Author>
    <b:InternetSiteTitle>Interactive Single Rulebook</b:InternetSiteTitle>
    <b:RefOrder>2</b:RefOrder>
  </b:Source>
  <b:Source xmlns:b="http://schemas.openxmlformats.org/officeDocument/2006/bibliography" xmlns="http://schemas.openxmlformats.org/officeDocument/2006/bibliography">
    <b:Tag>Placeholder1</b:Tag>
    <b:RefOrder>14</b:RefOrder>
  </b:Source>
</b:Sources>
</file>

<file path=customXml/itemProps1.xml><?xml version="1.0" encoding="utf-8"?>
<ds:datastoreItem xmlns:ds="http://schemas.openxmlformats.org/officeDocument/2006/customXml" ds:itemID="{84CDA963-527D-493A-9607-B3C37FFE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13</Pages>
  <Words>3396</Words>
  <Characters>19360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Mirza Demiri</cp:lastModifiedBy>
  <cp:revision>23</cp:revision>
  <dcterms:created xsi:type="dcterms:W3CDTF">2013-12-23T23:15:00Z</dcterms:created>
  <dcterms:modified xsi:type="dcterms:W3CDTF">2025-12-24T14:55:00Z</dcterms:modified>
  <cp:category/>
</cp:coreProperties>
</file>